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F50" w:rsidP="000C3F50">
      <w:pPr>
        <w:pStyle w:val="Title"/>
      </w:pPr>
      <w:r>
        <w:fldChar w:fldCharType="begin"/>
      </w:r>
      <w:r>
        <w:instrText xml:space="preserve"> TITLE   \* MERGEFORMAT </w:instrText>
      </w:r>
      <w:r>
        <w:fldChar w:fldCharType="separate"/>
      </w:r>
      <w:r>
        <w:t>RTE2506A Assess and receive raw materials for composting</w:t>
      </w:r>
      <w:r>
        <w:fldChar w:fldCharType="end"/>
      </w:r>
    </w:p>
    <w:p w:rsidR="000C3F50" w:rsidP="000C3F50">
      <w:pPr>
        <w:pStyle w:val="Version"/>
        <w:sectPr w:rsidSect="009672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2DF" w:rsidP="009672DF">
      <w:pPr>
        <w:pStyle w:val="SuperHeading"/>
      </w:pPr>
      <w:r w:rsidRPr="009672DF">
        <w:t>RTE2506A Assess and receive raw materials for composting</w:t>
      </w:r>
    </w:p>
    <w:p w:rsidR="00000000" w:rsidRPr="009672DF" w:rsidP="009672DF">
      <w:pPr>
        <w:pStyle w:val="Heading1"/>
      </w:pPr>
      <w:bookmarkStart w:id="1" w:name="O_319189"/>
      <w:bookmarkEnd w:id="1"/>
      <w:r w:rsidRPr="009672DF">
        <w:t>Modification History</w:t>
      </w:r>
    </w:p>
    <w:p w:rsidR="00000000" w:rsidRPr="009672DF" w:rsidP="009672DF">
      <w:pPr>
        <w:pStyle w:val="BodyText"/>
      </w:pPr>
      <w:r w:rsidRPr="009672DF">
        <w:t>Not applicable.</w:t>
      </w:r>
    </w:p>
    <w:p w:rsidR="00000000" w:rsidRPr="009672DF" w:rsidP="009672DF">
      <w:pPr>
        <w:pStyle w:val="AllowPageBreak"/>
      </w:pPr>
    </w:p>
    <w:p w:rsidR="00000000" w:rsidRPr="009672DF" w:rsidP="009672DF">
      <w:pPr>
        <w:pStyle w:val="Heading1"/>
      </w:pPr>
      <w:bookmarkStart w:id="2" w:name="O_319188"/>
      <w:bookmarkEnd w:id="2"/>
      <w:r w:rsidRPr="009672DF">
        <w:t>Unit Descriptor</w:t>
      </w:r>
    </w:p>
    <w:p w:rsidR="00000000" w:rsidRPr="009672DF" w:rsidP="009672DF">
      <w:pPr>
        <w:pStyle w:val="BodyText"/>
      </w:pPr>
      <w:r w:rsidRPr="009672DF">
        <w:rPr>
          <w:rStyle w:val="SpecialBold"/>
        </w:rPr>
        <w:t>Unit descriptor</w:t>
      </w:r>
    </w:p>
    <w:p w:rsidR="00000000" w:rsidRPr="009672DF" w:rsidP="009672DF">
      <w:pPr>
        <w:pStyle w:val="BodyText"/>
      </w:pPr>
      <w:r w:rsidRPr="009672DF">
        <w:t>This unit of competency specifies the outcomes required to receive raw material for processin</w:t>
      </w:r>
      <w:r w:rsidRPr="009672DF">
        <w:t>g at a compost facility, including measuring quantity for billing and assessing material quality for acceptability against specified enterprise requirements. It also covers following procedures for handling non-conformance.</w:t>
      </w:r>
    </w:p>
    <w:p w:rsidR="00000000" w:rsidRPr="009672DF" w:rsidP="009672DF">
      <w:pPr>
        <w:pStyle w:val="BodyText"/>
      </w:pPr>
      <w:r w:rsidRPr="009672DF">
        <w:t>The unit involves the applicatio</w:t>
      </w:r>
      <w:r w:rsidRPr="009672DF">
        <w:t>n of knowledge and skills to a limited range of defined tasks and responsibility.</w:t>
      </w:r>
    </w:p>
    <w:p w:rsidR="00000000" w:rsidRPr="009672DF" w:rsidP="009672DF">
      <w:pPr>
        <w:pStyle w:val="AllowPageBreak"/>
      </w:pPr>
    </w:p>
    <w:p w:rsidR="00000000" w:rsidRPr="009672DF" w:rsidP="009672DF">
      <w:pPr>
        <w:pStyle w:val="Heading1"/>
      </w:pPr>
      <w:bookmarkStart w:id="3" w:name="O_319187"/>
      <w:bookmarkEnd w:id="3"/>
      <w:r w:rsidRPr="009672DF">
        <w:t>Application of the Unit</w:t>
      </w:r>
    </w:p>
    <w:p w:rsidR="00000000" w:rsidRPr="009672DF" w:rsidP="009672DF">
      <w:pPr>
        <w:pStyle w:val="BodyText"/>
      </w:pPr>
      <w:r w:rsidRPr="009672DF">
        <w:rPr>
          <w:rStyle w:val="SpecialBold"/>
        </w:rPr>
        <w:t>Application of the unit</w:t>
      </w:r>
    </w:p>
    <w:p w:rsidR="00000000" w:rsidRPr="009672DF" w:rsidP="009672DF">
      <w:pPr>
        <w:pStyle w:val="BodyText"/>
      </w:pPr>
      <w:r w:rsidRPr="009672DF">
        <w:t>Composting is used as a general expression for the processing of organic materials; with this unit being rele</w:t>
      </w:r>
      <w:r w:rsidRPr="009672DF">
        <w:t>vant for both aerobic composting and vermiculture technologies.</w:t>
      </w:r>
    </w:p>
    <w:p w:rsidR="00000000" w:rsidRPr="009672DF" w:rsidP="009672DF">
      <w:pPr>
        <w:pStyle w:val="BodyText"/>
      </w:pPr>
      <w:r w:rsidRPr="009672DF">
        <w:t>This unit of competency applies to an employee of an enterprise engaged in commercial-scale composting operations. Tasks are likely to be performed by a yard hand or general hand under supervision of an operations team leader or site foreman. Work is likel</w:t>
      </w:r>
      <w:r w:rsidRPr="009672DF">
        <w:t>y to be performed as a part of a team.</w:t>
      </w:r>
    </w:p>
    <w:p w:rsidR="00000000" w:rsidRPr="009672DF" w:rsidP="009672DF">
      <w:pPr>
        <w:pStyle w:val="BodyText"/>
      </w:pPr>
      <w:r w:rsidRPr="009672DF">
        <w:t>This unit must be read in conjunction with the National Guidelines for Occupational Health and Safety Competency Standards for Operation of Load-Shifting Equipment and Other Types of Specified Equipment [NOHSC: 7019 (</w:t>
      </w:r>
      <w:r w:rsidRPr="009672DF">
        <w:t>1992)].</w:t>
      </w:r>
    </w:p>
    <w:p w:rsidR="00000000" w:rsidRPr="009672DF" w:rsidP="009672DF">
      <w:pPr>
        <w:pStyle w:val="BodyText"/>
      </w:pPr>
      <w:r w:rsidRPr="009672DF">
        <w:t>Where work requires the use of load-shifting equipment, appropriate training/certification must be provided according to state and territory safety and licensing requirements.</w:t>
      </w:r>
    </w:p>
    <w:p w:rsidR="00000000" w:rsidRPr="009672DF" w:rsidP="009672DF">
      <w:pPr>
        <w:pStyle w:val="AllowPageBreak"/>
      </w:pPr>
    </w:p>
    <w:p w:rsidR="00000000" w:rsidRPr="009672DF" w:rsidP="009672DF">
      <w:pPr>
        <w:pStyle w:val="Heading1"/>
      </w:pPr>
      <w:bookmarkStart w:id="4" w:name="O_319186"/>
      <w:bookmarkEnd w:id="4"/>
      <w:r w:rsidRPr="009672DF">
        <w:t>Licensing/Regulatory Information</w:t>
      </w:r>
    </w:p>
    <w:p w:rsidR="00000000" w:rsidRPr="009672DF" w:rsidP="009672DF">
      <w:pPr>
        <w:pStyle w:val="BodyText"/>
      </w:pPr>
      <w:r w:rsidRPr="009672DF">
        <w:t>Refer to Application o</w:t>
      </w:r>
      <w:r w:rsidRPr="009672DF">
        <w:t>f the Unit</w:t>
      </w:r>
    </w:p>
    <w:p w:rsidR="00000000" w:rsidRPr="009672DF" w:rsidP="009672DF">
      <w:pPr>
        <w:pStyle w:val="AllowPageBreak"/>
      </w:pPr>
    </w:p>
    <w:p w:rsidR="00000000" w:rsidRPr="009672DF" w:rsidP="009672DF">
      <w:pPr>
        <w:pStyle w:val="Heading1"/>
      </w:pPr>
      <w:bookmarkStart w:id="5" w:name="O_319185"/>
      <w:bookmarkEnd w:id="5"/>
      <w:r w:rsidRPr="009672DF">
        <w:t>Pre-Requisites</w:t>
      </w:r>
    </w:p>
    <w:p w:rsidR="00000000" w:rsidRPr="009672DF" w:rsidP="009672DF">
      <w:pPr>
        <w:pStyle w:val="BodyText"/>
      </w:pPr>
      <w:r w:rsidRPr="009672DF">
        <w:t>Not applicable.</w:t>
      </w:r>
    </w:p>
    <w:p w:rsidR="00000000" w:rsidRPr="009672DF" w:rsidP="009672DF">
      <w:pPr>
        <w:pStyle w:val="AllowPageBreak"/>
      </w:pPr>
    </w:p>
    <w:p w:rsidR="00000000" w:rsidRPr="009672DF" w:rsidP="009672DF">
      <w:pPr>
        <w:pStyle w:val="Heading1"/>
      </w:pPr>
      <w:bookmarkStart w:id="6" w:name="O_319179"/>
      <w:bookmarkEnd w:id="6"/>
      <w:r w:rsidRPr="009672DF">
        <w:t>Employability Skills Information</w:t>
      </w:r>
    </w:p>
    <w:p w:rsidR="00000000" w:rsidRPr="009672DF" w:rsidP="009672DF">
      <w:pPr>
        <w:pStyle w:val="BodyText"/>
      </w:pPr>
      <w:r w:rsidRPr="009672DF">
        <w:rPr>
          <w:rStyle w:val="SpecialBold"/>
        </w:rPr>
        <w:t>Employability Skills</w:t>
      </w:r>
    </w:p>
    <w:p w:rsidR="00000000" w:rsidRPr="009672DF" w:rsidP="009672DF">
      <w:pPr>
        <w:pStyle w:val="BodyText"/>
      </w:pPr>
      <w:r w:rsidRPr="009672DF">
        <w:t>The required outcomes described in this unit of competency contain applicable facets of Employability Skills.</w:t>
      </w:r>
    </w:p>
    <w:p w:rsidR="00000000" w:rsidRPr="009672DF" w:rsidP="009672DF">
      <w:pPr>
        <w:pStyle w:val="AllowPageBreak"/>
      </w:pPr>
    </w:p>
    <w:p w:rsidR="00000000" w:rsidRPr="009672DF" w:rsidP="009672DF">
      <w:pPr>
        <w:pStyle w:val="Heading1"/>
      </w:pPr>
      <w:bookmarkStart w:id="7" w:name="O_319184"/>
      <w:bookmarkEnd w:id="7"/>
      <w:r w:rsidRPr="009672DF">
        <w:t>Elements and Performance Criteria Pre-Content</w:t>
      </w:r>
    </w:p>
    <w:p w:rsidR="00000000" w:rsidRPr="009672DF" w:rsidP="009672DF">
      <w:pPr>
        <w:pStyle w:val="BodyText"/>
      </w:pPr>
      <w:r w:rsidRPr="009672DF">
        <w:t>Elements describe the essential outcomes of a unit of competency.</w:t>
      </w:r>
    </w:p>
    <w:p w:rsidR="00000000" w:rsidRPr="009672DF" w:rsidP="009672DF">
      <w:pPr>
        <w:pStyle w:val="BodyText"/>
      </w:pPr>
      <w:r w:rsidRPr="009672DF">
        <w:t xml:space="preserve">Performance criteria describe the required performance needed to demonstrate achievement of the element. Where </w:t>
      </w:r>
      <w:r w:rsidRPr="009672DF">
        <w:rPr>
          <w:rStyle w:val="SpecialBold"/>
        </w:rPr>
        <w:t xml:space="preserve">bold italicised </w:t>
      </w:r>
      <w:r w:rsidRPr="009672DF">
        <w:t>text is u</w:t>
      </w:r>
      <w:r w:rsidRPr="009672DF">
        <w:t>sed, further information is detailed in the required skills and knowledge and/or the range statement. Assessment of performance is to be consistent with the evidence guide.</w:t>
      </w:r>
    </w:p>
    <w:p w:rsidR="00000000" w:rsidRPr="009672DF" w:rsidP="009672DF">
      <w:pPr>
        <w:pStyle w:val="AllowPageBreak"/>
      </w:pPr>
    </w:p>
    <w:p w:rsidR="00000000" w:rsidRPr="009672DF" w:rsidP="009672DF">
      <w:pPr>
        <w:pStyle w:val="Heading1"/>
      </w:pPr>
      <w:bookmarkStart w:id="8" w:name="O_319190"/>
      <w:bookmarkEnd w:id="8"/>
      <w:r w:rsidRPr="009672D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C3F5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rPr>
                <w:rStyle w:val="SpecialBold"/>
              </w:rPr>
              <w:t>Elements and Performance Criteri</w:t>
            </w:r>
            <w:r w:rsidRPr="009672DF">
              <w:rPr>
                <w:rStyle w:val="SpecialBold"/>
              </w:rPr>
              <w:t>a</w:t>
            </w:r>
          </w:p>
        </w:tc>
      </w:tr>
      <w:tr w:rsidTr="000C3F5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rPr>
                <w:rStyle w:val="SpecialBold"/>
              </w:rPr>
              <w:t>Performance Criteria</w:t>
            </w:r>
          </w:p>
        </w:tc>
      </w:tr>
      <w:tr w:rsidTr="000C3F5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t>1</w:t>
            </w:r>
          </w:p>
        </w:tc>
        <w:tc>
          <w:tcPr>
            <w:tcW w:w="3000" w:type="dxa"/>
            <w:vMerge w:val="restart"/>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rPr>
                <w:rStyle w:val="SpecialBold"/>
              </w:rPr>
              <w:t>1 Organise for work.</w:t>
            </w: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1.1</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 xml:space="preserve">Specifications for </w:t>
            </w:r>
            <w:r w:rsidRPr="009672DF">
              <w:rPr>
                <w:rStyle w:val="SpecialBold"/>
              </w:rPr>
              <w:t xml:space="preserve">raw materials </w:t>
            </w:r>
            <w:r w:rsidRPr="009672DF">
              <w:t>for composting operation, acceptance criteria and receival procedures are confirmed according to supervisor instructions and enterprise procedures.</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t>1.2</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rPr>
                <w:rStyle w:val="SpecialBold"/>
              </w:rPr>
              <w:t xml:space="preserve">Hand tools </w:t>
            </w:r>
            <w:r w:rsidRPr="009672DF">
              <w:t>appropriate to job requirements are selected and checked for serviceability according to manufacturer specifications and enterprise procedures.</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1.3</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 xml:space="preserve">Existing and potential </w:t>
            </w:r>
            <w:r w:rsidRPr="009672DF">
              <w:rPr>
                <w:rStyle w:val="SpecialBold"/>
              </w:rPr>
              <w:t xml:space="preserve">hazards </w:t>
            </w:r>
            <w:r w:rsidRPr="009672DF">
              <w:t>to health and safety are identified, assessed and reported acco</w:t>
            </w:r>
            <w:r w:rsidRPr="009672DF">
              <w:t>rding to occupational health and safety (OHS) and enterprise procedures.</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1.4</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 xml:space="preserve">Suitable </w:t>
            </w:r>
            <w:r w:rsidRPr="009672DF">
              <w:rPr>
                <w:rStyle w:val="SpecialBold"/>
              </w:rPr>
              <w:t xml:space="preserve">personal protective equipment (PPE) </w:t>
            </w:r>
            <w:r w:rsidRPr="009672DF">
              <w:t>is selected, used, maintained and stored according to OHS procedures.</w:t>
            </w:r>
          </w:p>
        </w:tc>
      </w:tr>
      <w:tr w:rsidTr="000C3F5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t>2</w:t>
            </w:r>
          </w:p>
        </w:tc>
        <w:tc>
          <w:tcPr>
            <w:tcW w:w="3000" w:type="dxa"/>
            <w:vMerge w:val="restart"/>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rPr>
                <w:rStyle w:val="SpecialBold"/>
              </w:rPr>
              <w:t>2 Receive raw materials.</w:t>
            </w: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2.1</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Raw materials are accurately identified and assessed against specified acceptance criteria.</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2.2</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Unacceptable (non-conforming) materials are rejected according to enterprise procedures.</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2.3</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Non-conformances are documented and repor</w:t>
            </w:r>
            <w:r w:rsidRPr="009672DF">
              <w:t>ted according to enterprise procedures.</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2.4</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 xml:space="preserve">Acceptable raw materials are </w:t>
            </w:r>
            <w:r w:rsidRPr="009672DF">
              <w:rPr>
                <w:rStyle w:val="SpecialBold"/>
              </w:rPr>
              <w:t>measured</w:t>
            </w:r>
            <w:r w:rsidRPr="009672DF">
              <w:t>, and quantity is recorded according to enterprise procedures.</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2.5</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 xml:space="preserve">Fee is calculated based on raw material type and quantity, and charged to customer according to </w:t>
            </w:r>
            <w:r w:rsidRPr="009672DF">
              <w:t>enterp</w:t>
            </w:r>
            <w:r w:rsidRPr="009672DF">
              <w:t>rise procedures.</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2.6</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Correct fee payment is received and recorded, and receipt is provided according to enterprise procedures.</w:t>
            </w:r>
          </w:p>
        </w:tc>
      </w:tr>
      <w:tr w:rsidTr="000C3F5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t>3</w:t>
            </w:r>
          </w:p>
        </w:tc>
        <w:tc>
          <w:tcPr>
            <w:tcW w:w="3000" w:type="dxa"/>
            <w:vMerge w:val="restart"/>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rPr>
                <w:rStyle w:val="SpecialBold"/>
              </w:rPr>
              <w:t>3 Unload raw materials.</w:t>
            </w: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3.1</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Drivers are given clear directions for unloading safely at a specific location.</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3.2</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Unloading assistance is provided as required.</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3.3</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Raw materials are inspected and assessed against specified acceptance criteria according to enterprise procedures.</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3.4</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Unacceptable (non-conforming) materials are rejected according to enterprise procedures.</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3.5</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Non-conformances are documented and reported according to enterprise procedures.</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3.6</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Designated unloading areas are clearly identified and monitored to ensur</w:t>
            </w:r>
            <w:r w:rsidRPr="009672DF">
              <w:t>e compliance with unloading instructions, containment and segregation of materials, and availability of storage capacity.</w:t>
            </w:r>
          </w:p>
        </w:tc>
      </w:tr>
      <w:tr w:rsidTr="000C3F5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t>4</w:t>
            </w:r>
          </w:p>
        </w:tc>
        <w:tc>
          <w:tcPr>
            <w:tcW w:w="3000" w:type="dxa"/>
            <w:vMerge w:val="restart"/>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rPr>
                <w:rStyle w:val="SpecialBold"/>
              </w:rPr>
              <w:t>4 Remove contaminants and stockpile acceptable raw materials.</w:t>
            </w: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4.1</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 xml:space="preserve">Physical </w:t>
            </w:r>
            <w:r w:rsidRPr="009672DF">
              <w:rPr>
                <w:rStyle w:val="SpecialBold"/>
              </w:rPr>
              <w:t xml:space="preserve">contaminants </w:t>
            </w:r>
            <w:r w:rsidRPr="009672DF">
              <w:t>are removed from raw materials according to</w:t>
            </w:r>
            <w:r w:rsidRPr="009672DF">
              <w:t xml:space="preserve"> enterprise procedures.</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4.2</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Raw materials are segregated, stockpiled and contained in appropriate areas or otherwise managed according to enterprise procedures.</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4.3</w:t>
            </w:r>
          </w:p>
        </w:tc>
        <w:tc>
          <w:tcPr>
            <w:tcW w:w="51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Raw material stockpiles are monitored to ensure adequate available storage capacity and containment, and non-conformances are reported to supervisor.</w:t>
            </w:r>
          </w:p>
        </w:tc>
      </w:tr>
      <w:tr w:rsidTr="000C3F5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4.4</w:t>
            </w:r>
          </w:p>
        </w:tc>
        <w:tc>
          <w:tcPr>
            <w:tcW w:w="5100" w:type="dxa"/>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t>Raw material stockpiles are clearly labelled according to job and enterprise procedures.</w:t>
            </w:r>
          </w:p>
        </w:tc>
      </w:tr>
    </w:tbl>
    <w:p w:rsidR="00000000" w:rsidRPr="009672DF" w:rsidP="009672DF">
      <w:pPr>
        <w:pStyle w:val="BodyText"/>
      </w:pPr>
    </w:p>
    <w:p w:rsidR="00000000" w:rsidRPr="009672DF" w:rsidP="009672DF">
      <w:pPr>
        <w:pStyle w:val="AllowPageBreak"/>
      </w:pPr>
    </w:p>
    <w:p w:rsidR="00000000" w:rsidRPr="009672DF" w:rsidP="009672DF">
      <w:pPr>
        <w:pStyle w:val="Heading1"/>
      </w:pPr>
      <w:bookmarkStart w:id="9" w:name="O_319183"/>
      <w:bookmarkEnd w:id="9"/>
      <w:r w:rsidRPr="009672DF">
        <w:t>Required Skills and Knowledge</w:t>
      </w:r>
    </w:p>
    <w:p w:rsidR="00000000" w:rsidRPr="009672DF" w:rsidP="009672DF">
      <w:pPr>
        <w:pStyle w:val="BodyText"/>
      </w:pPr>
      <w:r w:rsidRPr="009672DF">
        <w:t>This section describes the essential skills and knowledge and their level, required for this unit.</w:t>
      </w:r>
    </w:p>
    <w:p w:rsidR="00000000" w:rsidRPr="009672DF" w:rsidP="009672DF">
      <w:pPr>
        <w:pStyle w:val="BodyText"/>
      </w:pPr>
      <w:r w:rsidRPr="009672DF">
        <w:rPr>
          <w:rStyle w:val="SpecialBold"/>
        </w:rPr>
        <w:t>Required skills include</w:t>
      </w:r>
      <w:r w:rsidRPr="009672DF">
        <w:t>:</w:t>
      </w:r>
    </w:p>
    <w:p w:rsidR="00000000" w:rsidRPr="009672DF" w:rsidP="009672DF">
      <w:pPr>
        <w:pStyle w:val="BodyText"/>
      </w:pPr>
      <w:r w:rsidRPr="009672DF">
        <w:t>basic mathematics for volume estimation and calculation of quantities and fees</w:t>
      </w:r>
    </w:p>
    <w:p w:rsidR="00000000" w:rsidRPr="009672DF" w:rsidP="009672DF">
      <w:pPr>
        <w:pStyle w:val="BodyText"/>
      </w:pPr>
      <w:r w:rsidRPr="009672DF">
        <w:t>literac</w:t>
      </w:r>
      <w:r w:rsidRPr="009672DF">
        <w:t xml:space="preserve">y levels sufficient to:   </w:t>
      </w:r>
    </w:p>
    <w:p w:rsidR="00000000" w:rsidRPr="009672DF" w:rsidP="009672DF">
      <w:pPr>
        <w:pStyle w:val="BodyText"/>
      </w:pPr>
      <w:r w:rsidRPr="009672DF">
        <w:t>read and follow enterprise policies and procedures</w:t>
      </w:r>
    </w:p>
    <w:p w:rsidR="00000000" w:rsidRPr="009672DF" w:rsidP="009672DF">
      <w:pPr>
        <w:pStyle w:val="BodyText"/>
      </w:pPr>
      <w:r w:rsidRPr="009672DF">
        <w:t>read site operating guidelines to confirm acceptance criteria</w:t>
      </w:r>
    </w:p>
    <w:p w:rsidR="00000000" w:rsidRPr="009672DF" w:rsidP="009672DF">
      <w:pPr>
        <w:pStyle w:val="BodyText"/>
      </w:pPr>
      <w:r w:rsidRPr="009672DF">
        <w:t xml:space="preserve">operating a weighbridge  </w:t>
      </w:r>
    </w:p>
    <w:p w:rsidR="00000000" w:rsidRPr="009672DF" w:rsidP="009672DF">
      <w:pPr>
        <w:pStyle w:val="BodyText"/>
      </w:pPr>
      <w:r w:rsidRPr="009672DF">
        <w:t xml:space="preserve">oral communication skills to:   </w:t>
      </w:r>
    </w:p>
    <w:p w:rsidR="00000000" w:rsidRPr="009672DF" w:rsidP="009672DF">
      <w:pPr>
        <w:pStyle w:val="BodyText"/>
      </w:pPr>
      <w:r w:rsidRPr="009672DF">
        <w:t>give directions to drivers</w:t>
      </w:r>
    </w:p>
    <w:p w:rsidR="00000000" w:rsidRPr="009672DF" w:rsidP="009672DF">
      <w:pPr>
        <w:pStyle w:val="BodyText"/>
      </w:pPr>
      <w:r w:rsidRPr="009672DF">
        <w:t>confirm instructions from supe</w:t>
      </w:r>
      <w:r w:rsidRPr="009672DF">
        <w:t>rvisor</w:t>
      </w:r>
    </w:p>
    <w:p w:rsidR="00000000" w:rsidRPr="009672DF" w:rsidP="009672DF">
      <w:pPr>
        <w:pStyle w:val="BodyText"/>
      </w:pPr>
      <w:r w:rsidRPr="009672DF">
        <w:t xml:space="preserve">performing basic administration procedures such as producing a receipt and operating a cash register.  </w:t>
      </w:r>
    </w:p>
    <w:p w:rsidR="00000000" w:rsidRPr="009672DF" w:rsidP="009672DF">
      <w:pPr>
        <w:pStyle w:val="BodyText"/>
      </w:pPr>
      <w:r w:rsidRPr="009672DF">
        <w:rPr>
          <w:rStyle w:val="SpecialBold"/>
        </w:rPr>
        <w:t>Required knowledge includes</w:t>
      </w:r>
      <w:r w:rsidRPr="009672DF">
        <w:t>:</w:t>
      </w:r>
    </w:p>
    <w:p w:rsidR="00000000" w:rsidRPr="009672DF" w:rsidP="009672DF">
      <w:pPr>
        <w:pStyle w:val="BodyText"/>
      </w:pPr>
      <w:r w:rsidRPr="009672DF">
        <w:t>characteristics of a range of raw materials</w:t>
      </w:r>
    </w:p>
    <w:p w:rsidR="00000000" w:rsidRPr="009672DF" w:rsidP="009672DF">
      <w:pPr>
        <w:pStyle w:val="BodyText"/>
      </w:pPr>
      <w:r w:rsidRPr="009672DF">
        <w:t>enterprise policies and procedures, including OHS procedures</w:t>
      </w:r>
    </w:p>
    <w:p w:rsidR="00000000" w:rsidRPr="009672DF" w:rsidP="009672DF">
      <w:pPr>
        <w:pStyle w:val="BodyText"/>
      </w:pPr>
      <w:r w:rsidRPr="009672DF">
        <w:t>safety risk</w:t>
      </w:r>
      <w:r w:rsidRPr="009672DF">
        <w:t>s to self and product posed by contaminants in raw materials and products</w:t>
      </w:r>
    </w:p>
    <w:p w:rsidR="00000000" w:rsidRPr="009672DF" w:rsidP="009672DF">
      <w:pPr>
        <w:pStyle w:val="BodyText"/>
      </w:pPr>
      <w:r w:rsidRPr="009672DF">
        <w:t>standard risk control measures used in the industry to minimise risk associated with handling raw materials and products.</w:t>
      </w:r>
    </w:p>
    <w:p w:rsidR="00000000" w:rsidRPr="009672DF" w:rsidP="009672DF">
      <w:pPr>
        <w:pStyle w:val="AllowPageBreak"/>
      </w:pPr>
    </w:p>
    <w:p w:rsidR="00000000" w:rsidRPr="009672DF" w:rsidP="009672DF">
      <w:pPr>
        <w:pStyle w:val="Heading1"/>
      </w:pPr>
      <w:bookmarkStart w:id="10" w:name="O_319182"/>
      <w:bookmarkEnd w:id="10"/>
      <w:r w:rsidRPr="009672DF">
        <w:t>Evidence Guide</w:t>
      </w:r>
    </w:p>
    <w:p w:rsidR="00000000" w:rsidRPr="009672DF" w:rsidP="009672DF">
      <w:pPr>
        <w:pStyle w:val="BodyText"/>
      </w:pPr>
      <w:r w:rsidRPr="009672DF">
        <w:rPr>
          <w:rStyle w:val="SpecialBold"/>
        </w:rPr>
        <w:t>Overview of assessment</w:t>
      </w:r>
    </w:p>
    <w:p w:rsidR="00000000" w:rsidRPr="009672DF" w:rsidP="009672DF">
      <w:pPr>
        <w:pStyle w:val="BodyText"/>
      </w:pPr>
      <w:r w:rsidRPr="009672DF">
        <w:t xml:space="preserve">This unit of competency could be assessed on its own or in combination with other units of competency relevant to the job function. For example it may be assessed with TDTD2298B </w:t>
      </w:r>
      <w:r w:rsidRPr="009672DF">
        <w:rPr>
          <w:rStyle w:val="SpecialBold"/>
        </w:rPr>
        <w:t>Conduct weighbridge operations</w:t>
      </w:r>
      <w:r w:rsidRPr="009672DF">
        <w:t xml:space="preserve"> and after RTE2507A </w:t>
      </w:r>
      <w:r w:rsidRPr="009672DF">
        <w:rPr>
          <w:rStyle w:val="SpecialBold"/>
        </w:rPr>
        <w:t>Recognise raw materials</w:t>
      </w:r>
      <w:r w:rsidRPr="009672DF">
        <w:t xml:space="preserve">, </w:t>
      </w:r>
      <w:r w:rsidRPr="009672DF">
        <w:rPr>
          <w:rStyle w:val="SpecialBold"/>
        </w:rPr>
        <w:t>pro</w:t>
      </w:r>
      <w:r w:rsidRPr="009672DF">
        <w:rPr>
          <w:rStyle w:val="SpecialBold"/>
        </w:rPr>
        <w:t>duction processes and products on a composting site</w:t>
      </w:r>
      <w:r w:rsidRPr="009672DF">
        <w:t>.</w:t>
      </w:r>
    </w:p>
    <w:p w:rsidR="00000000" w:rsidRPr="009672DF" w:rsidP="009672DF">
      <w:pPr>
        <w:pStyle w:val="BodyText"/>
      </w:pPr>
      <w:r w:rsidRPr="009672DF">
        <w:rPr>
          <w:rStyle w:val="SpecialBold"/>
        </w:rPr>
        <w:t>Critical aspects for assessment and evidence required to demonstrate competency in this unit</w:t>
      </w:r>
    </w:p>
    <w:p w:rsidR="00000000" w:rsidRPr="009672DF" w:rsidP="009672DF">
      <w:pPr>
        <w:pStyle w:val="BodyText"/>
      </w:pPr>
      <w:r w:rsidRPr="009672DF">
        <w:t>The critical requirements for this unit of competency as a whole are listed below.</w:t>
      </w:r>
    </w:p>
    <w:p w:rsidR="00000000" w:rsidRPr="009672DF" w:rsidP="009672DF">
      <w:pPr>
        <w:pStyle w:val="BodyText"/>
      </w:pPr>
      <w:r w:rsidRPr="009672DF">
        <w:t>Assessment must confirm one</w:t>
      </w:r>
      <w:r w:rsidRPr="009672DF">
        <w:t>'s ability to:</w:t>
      </w:r>
    </w:p>
    <w:p w:rsidR="00000000" w:rsidRPr="009672DF" w:rsidP="009672DF">
      <w:pPr>
        <w:pStyle w:val="BodyText"/>
      </w:pPr>
      <w:r w:rsidRPr="009672DF">
        <w:t>inspect and assess raw materials for contamination and acceptability against established criteria</w:t>
      </w:r>
    </w:p>
    <w:p w:rsidR="00000000" w:rsidRPr="009672DF" w:rsidP="009672DF">
      <w:pPr>
        <w:pStyle w:val="BodyText"/>
      </w:pPr>
      <w:r w:rsidRPr="009672DF">
        <w:t>measure and assess quantity of raw material</w:t>
      </w:r>
    </w:p>
    <w:p w:rsidR="00000000" w:rsidRPr="009672DF" w:rsidP="009672DF">
      <w:pPr>
        <w:pStyle w:val="BodyText"/>
      </w:pPr>
      <w:r w:rsidRPr="009672DF">
        <w:t>handle and report non-conformances</w:t>
      </w:r>
    </w:p>
    <w:p w:rsidR="00000000" w:rsidRPr="009672DF" w:rsidP="009672DF">
      <w:pPr>
        <w:pStyle w:val="BodyText"/>
      </w:pPr>
      <w:r w:rsidRPr="009672DF">
        <w:t>record raw material quantity and calculate fee</w:t>
      </w:r>
    </w:p>
    <w:p w:rsidR="00000000" w:rsidRPr="009672DF" w:rsidP="009672DF">
      <w:pPr>
        <w:pStyle w:val="BodyText"/>
      </w:pPr>
      <w:r w:rsidRPr="009672DF">
        <w:t>maintain appropri</w:t>
      </w:r>
      <w:r w:rsidRPr="009672DF">
        <w:t>ate documentation</w:t>
      </w:r>
    </w:p>
    <w:p w:rsidR="00000000" w:rsidRPr="009672DF" w:rsidP="009672DF">
      <w:pPr>
        <w:pStyle w:val="BodyText"/>
      </w:pPr>
      <w:r w:rsidRPr="009672DF">
        <w:t>identify hazards in handling raw materials and implement risk control measures</w:t>
      </w:r>
    </w:p>
    <w:p w:rsidR="00000000" w:rsidRPr="009672DF" w:rsidP="009672DF">
      <w:pPr>
        <w:pStyle w:val="BodyText"/>
      </w:pPr>
      <w:r w:rsidRPr="009672DF">
        <w:t>provide clear directions to drivers entering site.</w:t>
      </w:r>
    </w:p>
    <w:p w:rsidR="00000000" w:rsidRPr="009672DF" w:rsidP="009672DF">
      <w:pPr>
        <w:pStyle w:val="BodyText"/>
      </w:pPr>
      <w:r w:rsidRPr="009672DF">
        <w:rPr>
          <w:rStyle w:val="SpecialBold"/>
        </w:rPr>
        <w:t>Context and specific resources for assessment</w:t>
      </w:r>
    </w:p>
    <w:p w:rsidR="00000000" w:rsidRPr="009672DF" w:rsidP="009672DF">
      <w:pPr>
        <w:pStyle w:val="BodyText"/>
      </w:pPr>
      <w:r w:rsidRPr="009672DF">
        <w:t>Assessment for this unit of competency is to be largely practi</w:t>
      </w:r>
      <w:r w:rsidRPr="009672DF">
        <w:t>cal in nature and must be assessed in a commercial-scale composting facility or in a situation that reproduces and/or simulates operational conditions.</w:t>
      </w:r>
    </w:p>
    <w:p w:rsidR="00000000" w:rsidRPr="009672DF" w:rsidP="009672DF">
      <w:pPr>
        <w:pStyle w:val="BodyText"/>
      </w:pPr>
      <w:r w:rsidRPr="009672DF">
        <w:t xml:space="preserve">For valid assessment, candidates should have opportunities to participate in a range of exercises, case </w:t>
      </w:r>
      <w:r w:rsidRPr="009672DF">
        <w:t xml:space="preserve">studies and other real and simulated practical and knowledge assessments that demonstrate the skills and knowledge specified in this unit. </w:t>
      </w:r>
    </w:p>
    <w:p w:rsidR="00000000" w:rsidRPr="009672DF" w:rsidP="009672DF">
      <w:pPr>
        <w:pStyle w:val="BodyText"/>
      </w:pPr>
      <w:r w:rsidRPr="009672DF">
        <w:t>The candidate should also have access to the following resources:</w:t>
      </w:r>
    </w:p>
    <w:p w:rsidR="00000000" w:rsidRPr="009672DF" w:rsidP="009672DF">
      <w:pPr>
        <w:pStyle w:val="BodyText"/>
      </w:pPr>
      <w:r w:rsidRPr="009672DF">
        <w:t>weighbridge and scales</w:t>
      </w:r>
    </w:p>
    <w:p w:rsidR="00000000" w:rsidRPr="009672DF" w:rsidP="009672DF">
      <w:pPr>
        <w:pStyle w:val="BodyText"/>
      </w:pPr>
      <w:r w:rsidRPr="009672DF">
        <w:t>load-shifting equipment</w:t>
      </w:r>
    </w:p>
    <w:p w:rsidR="00000000" w:rsidRPr="009672DF" w:rsidP="009672DF">
      <w:pPr>
        <w:pStyle w:val="BodyText"/>
      </w:pPr>
      <w:r w:rsidRPr="009672DF">
        <w:t>han</w:t>
      </w:r>
      <w:r w:rsidRPr="009672DF">
        <w:t>d tools/equipment for removing physical contaminants</w:t>
      </w:r>
    </w:p>
    <w:p w:rsidR="00000000" w:rsidRPr="009672DF" w:rsidP="009672DF">
      <w:pPr>
        <w:pStyle w:val="BodyText"/>
      </w:pPr>
      <w:r w:rsidRPr="009672DF">
        <w:t>PPE</w:t>
      </w:r>
    </w:p>
    <w:p w:rsidR="00000000" w:rsidRPr="009672DF" w:rsidP="009672DF">
      <w:pPr>
        <w:pStyle w:val="BodyText"/>
      </w:pPr>
      <w:r w:rsidRPr="009672DF">
        <w:t>raw materials for assessment</w:t>
      </w:r>
    </w:p>
    <w:p w:rsidR="00000000" w:rsidRPr="009672DF" w:rsidP="009672DF">
      <w:pPr>
        <w:pStyle w:val="BodyText"/>
      </w:pPr>
      <w:r w:rsidRPr="009672DF">
        <w:t>acceptability criteria and procedures for raw materials</w:t>
      </w:r>
    </w:p>
    <w:p w:rsidR="00000000" w:rsidRPr="009672DF" w:rsidP="009672DF">
      <w:pPr>
        <w:pStyle w:val="BodyText"/>
      </w:pPr>
      <w:r w:rsidRPr="009672DF">
        <w:t>forms (e.g. for recording quantity and reporting non-conformance).</w:t>
      </w:r>
    </w:p>
    <w:p w:rsidR="00000000" w:rsidRPr="009672DF" w:rsidP="009672DF">
      <w:pPr>
        <w:pStyle w:val="BodyText"/>
      </w:pPr>
      <w:r w:rsidRPr="009672DF">
        <w:rPr>
          <w:rStyle w:val="SpecialBold"/>
        </w:rPr>
        <w:t>Guidance information for assessment</w:t>
      </w:r>
    </w:p>
    <w:p w:rsidR="00000000" w:rsidRPr="009672DF" w:rsidP="009672DF">
      <w:pPr>
        <w:pStyle w:val="BodyText"/>
      </w:pPr>
      <w:r w:rsidRPr="009672DF">
        <w:t>To ensure consistency in performance, competency should be demonstrated on more than one occasion over a period of time in order to cover a variety of circumstances, cases and responsibilities and, where possible, over a number of assessment activities.</w:t>
      </w:r>
    </w:p>
    <w:p w:rsidR="00000000" w:rsidRPr="009672DF" w:rsidP="009672DF">
      <w:pPr>
        <w:pStyle w:val="BodyText"/>
      </w:pPr>
      <w:r w:rsidRPr="009672DF">
        <w:t>Th</w:t>
      </w:r>
      <w:r w:rsidRPr="009672DF">
        <w:t>e skills and knowledge required to demonstrate competency must allow for application in a broad industry context, and should be transferable to a range of work environments, including the ability to deal with unplanned events. For example, this could inclu</w:t>
      </w:r>
      <w:r w:rsidRPr="009672DF">
        <w:t>de work within composting operations of varying scale; processing a range of different raw materials; producing a range of different composts and value-added products to meet the demands of different markets; located in an urban or rural context with varyi</w:t>
      </w:r>
      <w:r w:rsidRPr="009672DF">
        <w:t>ng environmental constraints; and using various equipment, practices, technologies and management systems.</w:t>
      </w:r>
    </w:p>
    <w:p w:rsidR="00000000" w:rsidRPr="009672DF" w:rsidP="009672DF">
      <w:pPr>
        <w:pStyle w:val="AllowPageBreak"/>
      </w:pPr>
    </w:p>
    <w:p w:rsidR="00000000" w:rsidRPr="009672DF" w:rsidP="009672DF">
      <w:pPr>
        <w:pStyle w:val="Heading1"/>
      </w:pPr>
      <w:bookmarkStart w:id="11" w:name="O_319181"/>
      <w:bookmarkEnd w:id="11"/>
      <w:r w:rsidRPr="009672DF">
        <w:t>Range Statement</w:t>
      </w:r>
    </w:p>
    <w:p w:rsidR="00000000" w:rsidRPr="009672DF" w:rsidP="009672DF">
      <w:pPr>
        <w:pStyle w:val="BodyText"/>
      </w:pPr>
      <w:r w:rsidRPr="009672DF">
        <w:rPr>
          <w:rStyle w:val="SpecialBold"/>
        </w:rPr>
        <w:t>RANGE STATEMENT</w:t>
      </w:r>
    </w:p>
    <w:p w:rsidR="00000000" w:rsidRPr="009672DF" w:rsidP="009672DF">
      <w:pPr>
        <w:pStyle w:val="BodyText"/>
      </w:pPr>
      <w:r w:rsidRPr="009672DF">
        <w:t xml:space="preserve">The range statement relates to the unit of competency as a whole. It allows for different work environments and situations that may affect performance. </w:t>
      </w:r>
      <w:r w:rsidRPr="009672DF">
        <w:rPr>
          <w:rStyle w:val="SpecialBold"/>
        </w:rPr>
        <w:t>Bold italicised</w:t>
      </w:r>
      <w:r w:rsidRPr="009672DF">
        <w:t xml:space="preserve"> wording in the performance criteria is detailed below. Add any essential operating condi</w:t>
      </w:r>
      <w:r w:rsidRPr="009672DF">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4500"/>
        <w:gridCol w:w="4500"/>
      </w:tblGrid>
      <w:tr w:rsidTr="000C3F5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rPr>
                <w:rStyle w:val="SpecialBold"/>
              </w:rPr>
              <w:t>Raw materials</w:t>
            </w:r>
            <w:r w:rsidRPr="009672DF">
              <w:t xml:space="preserve"> assessed and/or received on the site may include: </w:t>
            </w:r>
          </w:p>
        </w:tc>
        <w:tc>
          <w:tcPr>
            <w:tcW w:w="4500" w:type="dxa"/>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t>animal mor</w:t>
            </w:r>
            <w:r w:rsidRPr="009672DF">
              <w:t>talities</w:t>
            </w:r>
          </w:p>
          <w:p w:rsidR="00000000" w:rsidRPr="009672DF" w:rsidP="009672DF">
            <w:pPr>
              <w:pStyle w:val="BodyText"/>
            </w:pPr>
            <w:r w:rsidRPr="009672DF">
              <w:t>biosolids such as sewage sludge</w:t>
            </w:r>
          </w:p>
          <w:p w:rsidR="00000000" w:rsidRPr="009672DF" w:rsidP="009672DF">
            <w:pPr>
              <w:pStyle w:val="BodyText"/>
            </w:pPr>
            <w:r w:rsidRPr="009672DF">
              <w:t>crop residuals</w:t>
            </w:r>
          </w:p>
          <w:p w:rsidR="00000000" w:rsidRPr="009672DF" w:rsidP="009672DF">
            <w:pPr>
              <w:pStyle w:val="BodyText"/>
            </w:pPr>
            <w:r w:rsidRPr="009672DF">
              <w:t>dairy waste</w:t>
            </w:r>
          </w:p>
          <w:p w:rsidR="00000000" w:rsidRPr="009672DF" w:rsidP="009672DF">
            <w:pPr>
              <w:pStyle w:val="BodyText"/>
            </w:pPr>
            <w:r w:rsidRPr="009672DF">
              <w:t>fats and oils</w:t>
            </w:r>
          </w:p>
          <w:p w:rsidR="00000000" w:rsidRPr="009672DF" w:rsidP="009672DF">
            <w:pPr>
              <w:pStyle w:val="BodyText"/>
            </w:pPr>
            <w:r w:rsidRPr="009672DF">
              <w:t xml:space="preserve">food organics:   </w:t>
            </w:r>
          </w:p>
          <w:p w:rsidR="00000000" w:rsidRPr="009672DF" w:rsidP="009672DF">
            <w:pPr>
              <w:pStyle w:val="BodyText"/>
            </w:pPr>
            <w:r w:rsidRPr="009672DF">
              <w:t>food waste</w:t>
            </w:r>
          </w:p>
          <w:p w:rsidR="00000000" w:rsidRPr="009672DF" w:rsidP="009672DF">
            <w:pPr>
              <w:pStyle w:val="BodyText"/>
            </w:pPr>
            <w:r w:rsidRPr="009672DF">
              <w:t>kitchen waste</w:t>
            </w:r>
          </w:p>
          <w:p w:rsidR="00000000" w:rsidRPr="009672DF" w:rsidP="009672DF">
            <w:pPr>
              <w:pStyle w:val="BodyText"/>
            </w:pPr>
            <w:r w:rsidRPr="009672DF">
              <w:t>food processing waste</w:t>
            </w:r>
          </w:p>
          <w:p w:rsidR="00000000" w:rsidRPr="009672DF" w:rsidP="009672DF">
            <w:pPr>
              <w:pStyle w:val="BodyText"/>
            </w:pPr>
            <w:r w:rsidRPr="009672DF">
              <w:t xml:space="preserve">forestry residuals  </w:t>
            </w:r>
          </w:p>
          <w:p w:rsidR="00000000" w:rsidRPr="009672DF" w:rsidP="009672DF">
            <w:pPr>
              <w:pStyle w:val="BodyText"/>
            </w:pPr>
            <w:r w:rsidRPr="009672DF">
              <w:t>manures</w:t>
            </w:r>
          </w:p>
          <w:p w:rsidR="00000000" w:rsidRPr="009672DF" w:rsidP="009672DF">
            <w:pPr>
              <w:pStyle w:val="BodyText"/>
            </w:pPr>
            <w:r w:rsidRPr="009672DF">
              <w:t>organic sludges</w:t>
            </w:r>
          </w:p>
          <w:p w:rsidR="00000000" w:rsidRPr="009672DF" w:rsidP="009672DF">
            <w:pPr>
              <w:pStyle w:val="BodyText"/>
            </w:pPr>
            <w:r w:rsidRPr="009672DF">
              <w:t>paper mill wastes</w:t>
            </w:r>
          </w:p>
          <w:p w:rsidR="00000000" w:rsidRPr="009672DF" w:rsidP="009672DF">
            <w:pPr>
              <w:pStyle w:val="BodyText"/>
            </w:pPr>
            <w:r w:rsidRPr="009672DF">
              <w:t>paper-based materials</w:t>
            </w:r>
          </w:p>
          <w:p w:rsidR="00000000" w:rsidRPr="009672DF" w:rsidP="009672DF">
            <w:pPr>
              <w:pStyle w:val="BodyText"/>
            </w:pPr>
            <w:r w:rsidRPr="009672DF">
              <w:t>plant materials such as:</w:t>
            </w:r>
            <w:r w:rsidRPr="009672DF">
              <w:t xml:space="preserve">   </w:t>
            </w:r>
          </w:p>
          <w:p w:rsidR="00000000" w:rsidRPr="009672DF" w:rsidP="009672DF">
            <w:pPr>
              <w:pStyle w:val="BodyText"/>
            </w:pPr>
            <w:r w:rsidRPr="009672DF">
              <w:t>garden organics</w:t>
            </w:r>
          </w:p>
          <w:p w:rsidR="00000000" w:rsidRPr="009672DF" w:rsidP="009672DF">
            <w:pPr>
              <w:pStyle w:val="BodyText"/>
            </w:pPr>
            <w:r w:rsidRPr="009672DF">
              <w:t>green organics</w:t>
            </w:r>
          </w:p>
          <w:p w:rsidR="00000000" w:rsidRPr="009672DF" w:rsidP="009672DF">
            <w:pPr>
              <w:pStyle w:val="BodyText"/>
            </w:pPr>
            <w:r w:rsidRPr="009672DF">
              <w:t>green waste</w:t>
            </w:r>
          </w:p>
          <w:p w:rsidR="00000000" w:rsidRPr="009672DF" w:rsidP="009672DF">
            <w:pPr>
              <w:pStyle w:val="BodyText"/>
            </w:pPr>
            <w:r w:rsidRPr="009672DF">
              <w:t>yard waste</w:t>
            </w:r>
          </w:p>
          <w:p w:rsidR="00000000" w:rsidRPr="009672DF" w:rsidP="009672DF">
            <w:pPr>
              <w:pStyle w:val="BodyText"/>
            </w:pPr>
            <w:r w:rsidRPr="009672DF">
              <w:t xml:space="preserve">sawdust and wood shavings  </w:t>
            </w:r>
          </w:p>
          <w:p w:rsidR="00000000" w:rsidRPr="009672DF" w:rsidP="009672DF">
            <w:pPr>
              <w:pStyle w:val="BodyText"/>
            </w:pPr>
            <w:r w:rsidRPr="009672DF">
              <w:t>sewage facility grit and screenings</w:t>
            </w:r>
          </w:p>
          <w:p w:rsidR="00000000" w:rsidRPr="009672DF" w:rsidP="009672DF">
            <w:pPr>
              <w:pStyle w:val="BodyText"/>
            </w:pPr>
            <w:r w:rsidRPr="009672DF">
              <w:t>wood and timber (non-treated)</w:t>
            </w:r>
          </w:p>
          <w:p w:rsidR="00000000" w:rsidP="009672DF">
            <w:pPr>
              <w:pStyle w:val="BodyText"/>
              <w:rPr>
                <w:lang w:val="en-NZ"/>
              </w:rPr>
            </w:pPr>
            <w:r w:rsidRPr="009672DF">
              <w:t>other organic waste or by-product of processing.</w:t>
            </w:r>
          </w:p>
        </w:tc>
      </w:tr>
      <w:tr w:rsidTr="000C3F5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rPr>
                <w:rStyle w:val="SpecialBold"/>
              </w:rPr>
              <w:t>Hand tools</w:t>
            </w:r>
            <w:r w:rsidRPr="009672DF">
              <w:t xml:space="preserve"> required may include: </w:t>
            </w:r>
          </w:p>
        </w:tc>
        <w:tc>
          <w:tcPr>
            <w:tcW w:w="4500" w:type="dxa"/>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t>bins and buckets</w:t>
            </w:r>
          </w:p>
          <w:p w:rsidR="00000000" w:rsidRPr="009672DF" w:rsidP="009672DF">
            <w:pPr>
              <w:pStyle w:val="BodyText"/>
            </w:pPr>
            <w:r w:rsidRPr="009672DF">
              <w:t>grabbers</w:t>
            </w:r>
          </w:p>
          <w:p w:rsidR="00000000" w:rsidRPr="009672DF" w:rsidP="009672DF">
            <w:pPr>
              <w:pStyle w:val="BodyText"/>
            </w:pPr>
            <w:r w:rsidRPr="009672DF">
              <w:t>mechanical hands</w:t>
            </w:r>
          </w:p>
          <w:p w:rsidR="00000000" w:rsidRPr="009672DF" w:rsidP="009672DF">
            <w:pPr>
              <w:pStyle w:val="BodyText"/>
            </w:pPr>
            <w:r w:rsidRPr="009672DF">
              <w:t>other physical contaminant removal hand tools and receptacles</w:t>
            </w:r>
          </w:p>
          <w:p w:rsidR="00000000" w:rsidP="009672DF">
            <w:pPr>
              <w:pStyle w:val="BodyText"/>
              <w:rPr>
                <w:lang w:val="en-NZ"/>
              </w:rPr>
            </w:pPr>
            <w:r w:rsidRPr="009672DF">
              <w:t xml:space="preserve">shovels and scoops. </w:t>
            </w:r>
          </w:p>
        </w:tc>
      </w:tr>
      <w:tr w:rsidTr="000C3F5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 xml:space="preserve">OHS </w:t>
            </w:r>
            <w:r w:rsidRPr="009672DF">
              <w:rPr>
                <w:rStyle w:val="SpecialBold"/>
              </w:rPr>
              <w:t>hazards</w:t>
            </w:r>
            <w:r w:rsidRPr="009672D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t>biological hazards</w:t>
            </w:r>
          </w:p>
          <w:p w:rsidR="00000000" w:rsidRPr="009672DF" w:rsidP="009672DF">
            <w:pPr>
              <w:pStyle w:val="BodyText"/>
            </w:pPr>
            <w:r w:rsidRPr="009672DF">
              <w:t>ergonomic hazards associated with manual handling</w:t>
            </w:r>
          </w:p>
          <w:p w:rsidR="00000000" w:rsidRPr="009672DF" w:rsidP="009672DF">
            <w:pPr>
              <w:pStyle w:val="BodyText"/>
            </w:pPr>
            <w:r w:rsidRPr="009672DF">
              <w:t xml:space="preserve">physical hazards such as:   </w:t>
            </w:r>
          </w:p>
          <w:p w:rsidR="00000000" w:rsidRPr="009672DF" w:rsidP="009672DF">
            <w:pPr>
              <w:pStyle w:val="BodyText"/>
            </w:pPr>
            <w:r w:rsidRPr="009672DF">
              <w:t>compressed air and wat</w:t>
            </w:r>
            <w:r w:rsidRPr="009672DF">
              <w:t>er</w:t>
            </w:r>
          </w:p>
          <w:p w:rsidR="00000000" w:rsidRPr="009672DF" w:rsidP="009672DF">
            <w:pPr>
              <w:pStyle w:val="BodyText"/>
            </w:pPr>
            <w:r w:rsidRPr="009672DF">
              <w:t>dust</w:t>
            </w:r>
          </w:p>
          <w:p w:rsidR="00000000" w:rsidRPr="009672DF" w:rsidP="009672DF">
            <w:pPr>
              <w:pStyle w:val="BodyText"/>
            </w:pPr>
            <w:r w:rsidRPr="009672DF">
              <w:t>hammer mills and grinders</w:t>
            </w:r>
          </w:p>
          <w:p w:rsidR="00000000" w:rsidRPr="009672DF" w:rsidP="009672DF">
            <w:pPr>
              <w:pStyle w:val="BodyText"/>
            </w:pPr>
            <w:r w:rsidRPr="009672DF">
              <w:t>hot or cold weather conditions</w:t>
            </w:r>
          </w:p>
          <w:p w:rsidR="00000000" w:rsidRPr="009672DF" w:rsidP="009672DF">
            <w:pPr>
              <w:pStyle w:val="BodyText"/>
            </w:pPr>
            <w:r w:rsidRPr="009672DF">
              <w:t>noise</w:t>
            </w:r>
          </w:p>
          <w:p w:rsidR="00000000" w:rsidRPr="009672DF" w:rsidP="009672DF">
            <w:pPr>
              <w:pStyle w:val="BodyText"/>
            </w:pPr>
            <w:r w:rsidRPr="009672DF">
              <w:t>shredders</w:t>
            </w:r>
          </w:p>
          <w:p w:rsidR="00000000" w:rsidRPr="009672DF" w:rsidP="009672DF">
            <w:pPr>
              <w:pStyle w:val="BodyText"/>
            </w:pPr>
            <w:r w:rsidRPr="009672DF">
              <w:t>underfoot conditions</w:t>
            </w:r>
          </w:p>
          <w:p w:rsidR="00000000" w:rsidRPr="009672DF" w:rsidP="009672DF">
            <w:pPr>
              <w:pStyle w:val="BodyText"/>
            </w:pPr>
            <w:r w:rsidRPr="009672DF">
              <w:t>vehicles and mobile machinery</w:t>
            </w:r>
          </w:p>
          <w:p w:rsidR="00000000" w:rsidP="009672DF">
            <w:pPr>
              <w:pStyle w:val="BodyText"/>
              <w:rPr>
                <w:lang w:val="en-NZ"/>
              </w:rPr>
            </w:pPr>
            <w:r w:rsidRPr="009672DF">
              <w:t xml:space="preserve">sharps or other physical contaminants in materials.   </w:t>
            </w:r>
          </w:p>
        </w:tc>
      </w:tr>
      <w:tr w:rsidTr="000C3F5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rPr>
                <w:rStyle w:val="SpecialBold"/>
              </w:rPr>
              <w:t>PPE</w:t>
            </w:r>
            <w:r w:rsidRPr="009672DF">
              <w:t xml:space="preserve"> required may include:  </w:t>
            </w:r>
          </w:p>
        </w:tc>
        <w:tc>
          <w:tcPr>
            <w:tcW w:w="4500" w:type="dxa"/>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t>dust masks</w:t>
            </w:r>
          </w:p>
          <w:p w:rsidR="00000000" w:rsidRPr="009672DF" w:rsidP="009672DF">
            <w:pPr>
              <w:pStyle w:val="BodyText"/>
            </w:pPr>
            <w:r w:rsidRPr="009672DF">
              <w:t>earmuffs</w:t>
            </w:r>
          </w:p>
          <w:p w:rsidR="00000000" w:rsidRPr="009672DF" w:rsidP="009672DF">
            <w:pPr>
              <w:pStyle w:val="BodyText"/>
            </w:pPr>
            <w:r w:rsidRPr="009672DF">
              <w:t>fire extinguishers</w:t>
            </w:r>
          </w:p>
          <w:p w:rsidR="00000000" w:rsidRPr="009672DF" w:rsidP="009672DF">
            <w:pPr>
              <w:pStyle w:val="BodyText"/>
            </w:pPr>
            <w:r w:rsidRPr="009672DF">
              <w:t>gloves</w:t>
            </w:r>
          </w:p>
          <w:p w:rsidR="00000000" w:rsidRPr="009672DF" w:rsidP="009672DF">
            <w:pPr>
              <w:pStyle w:val="BodyText"/>
            </w:pPr>
            <w:r w:rsidRPr="009672DF">
              <w:t>hard hats</w:t>
            </w:r>
          </w:p>
          <w:p w:rsidR="00000000" w:rsidRPr="009672DF" w:rsidP="009672DF">
            <w:pPr>
              <w:pStyle w:val="BodyText"/>
            </w:pPr>
            <w:r w:rsidRPr="009672DF">
              <w:t>high visibility vests</w:t>
            </w:r>
          </w:p>
          <w:p w:rsidR="00000000" w:rsidRPr="009672DF" w:rsidP="009672DF">
            <w:pPr>
              <w:pStyle w:val="BodyText"/>
            </w:pPr>
            <w:r w:rsidRPr="009672DF">
              <w:t>protective clothing</w:t>
            </w:r>
          </w:p>
          <w:p w:rsidR="00000000" w:rsidRPr="009672DF" w:rsidP="009672DF">
            <w:pPr>
              <w:pStyle w:val="BodyText"/>
            </w:pPr>
            <w:r w:rsidRPr="009672DF">
              <w:t>safety footwear</w:t>
            </w:r>
          </w:p>
          <w:p w:rsidR="00000000" w:rsidP="009672DF">
            <w:pPr>
              <w:pStyle w:val="BodyText"/>
              <w:rPr>
                <w:lang w:val="en-NZ"/>
              </w:rPr>
            </w:pPr>
            <w:r w:rsidRPr="009672DF">
              <w:t xml:space="preserve">safety glasses. </w:t>
            </w:r>
          </w:p>
        </w:tc>
      </w:tr>
      <w:tr w:rsidTr="000C3F5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t xml:space="preserve">Methods for </w:t>
            </w:r>
            <w:r w:rsidRPr="009672DF">
              <w:rPr>
                <w:rStyle w:val="SpecialBold"/>
              </w:rPr>
              <w:t>measuring</w:t>
            </w:r>
            <w:r w:rsidRPr="009672DF">
              <w:t xml:space="preserve"> raw materials may include: </w:t>
            </w:r>
          </w:p>
        </w:tc>
        <w:tc>
          <w:tcPr>
            <w:tcW w:w="4500" w:type="dxa"/>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t>scale</w:t>
            </w:r>
          </w:p>
          <w:p w:rsidR="00000000" w:rsidRPr="009672DF" w:rsidP="009672DF">
            <w:pPr>
              <w:pStyle w:val="BodyText"/>
            </w:pPr>
            <w:r w:rsidRPr="009672DF">
              <w:t>volume estimates</w:t>
            </w:r>
          </w:p>
          <w:p w:rsidR="00000000" w:rsidP="009672DF">
            <w:pPr>
              <w:pStyle w:val="BodyText"/>
              <w:rPr>
                <w:lang w:val="en-NZ"/>
              </w:rPr>
            </w:pPr>
            <w:r w:rsidRPr="009672DF">
              <w:t xml:space="preserve">weighbridge. </w:t>
            </w:r>
          </w:p>
        </w:tc>
      </w:tr>
      <w:tr w:rsidTr="000C3F5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72DF">
            <w:pPr>
              <w:pStyle w:val="BodyText"/>
              <w:rPr>
                <w:lang w:val="en-NZ"/>
              </w:rPr>
            </w:pPr>
            <w:r w:rsidRPr="009672DF">
              <w:rPr>
                <w:rStyle w:val="SpecialBold"/>
              </w:rPr>
              <w:t>Contaminants</w:t>
            </w:r>
            <w:r w:rsidRPr="009672DF">
              <w:t xml:space="preserve"> that may need to be removed from raw materials include: </w:t>
            </w:r>
          </w:p>
        </w:tc>
        <w:tc>
          <w:tcPr>
            <w:tcW w:w="4500" w:type="dxa"/>
            <w:tcBorders>
              <w:top w:val="nil"/>
              <w:left w:val="nil"/>
              <w:bottom w:val="nil"/>
              <w:right w:val="nil"/>
            </w:tcBorders>
            <w:tcMar>
              <w:top w:w="0" w:type="dxa"/>
              <w:left w:w="62" w:type="dxa"/>
              <w:bottom w:w="0" w:type="dxa"/>
              <w:right w:w="62" w:type="dxa"/>
            </w:tcMar>
          </w:tcPr>
          <w:p w:rsidR="00000000" w:rsidRPr="009672DF" w:rsidP="009672DF">
            <w:pPr>
              <w:pStyle w:val="BodyText"/>
            </w:pPr>
            <w:r w:rsidRPr="009672DF">
              <w:t>biolo</w:t>
            </w:r>
            <w:r w:rsidRPr="009672DF">
              <w:t>gical contaminants such as pathogens</w:t>
            </w:r>
          </w:p>
          <w:p w:rsidR="00000000" w:rsidRPr="009672DF" w:rsidP="009672DF">
            <w:pPr>
              <w:pStyle w:val="BodyText"/>
            </w:pPr>
            <w:r w:rsidRPr="009672DF">
              <w:t xml:space="preserve">chemical contaminants such as:   </w:t>
            </w:r>
          </w:p>
          <w:p w:rsidR="00000000" w:rsidRPr="009672DF" w:rsidP="009672DF">
            <w:pPr>
              <w:pStyle w:val="BodyText"/>
            </w:pPr>
            <w:r w:rsidRPr="009672DF">
              <w:t>pesticides</w:t>
            </w:r>
          </w:p>
          <w:p w:rsidR="00000000" w:rsidRPr="009672DF" w:rsidP="009672DF">
            <w:pPr>
              <w:pStyle w:val="BodyText"/>
            </w:pPr>
            <w:r w:rsidRPr="009672DF">
              <w:t>heavy metals</w:t>
            </w:r>
          </w:p>
          <w:p w:rsidR="00000000" w:rsidRPr="009672DF" w:rsidP="009672DF">
            <w:pPr>
              <w:pStyle w:val="BodyText"/>
            </w:pPr>
            <w:r w:rsidRPr="009672DF">
              <w:t xml:space="preserve">physical contaminants such as:     </w:t>
            </w:r>
          </w:p>
          <w:p w:rsidR="00000000" w:rsidRPr="009672DF" w:rsidP="009672DF">
            <w:pPr>
              <w:pStyle w:val="BodyText"/>
            </w:pPr>
            <w:r w:rsidRPr="009672DF">
              <w:t>glass, plastics and metals</w:t>
            </w:r>
          </w:p>
          <w:p w:rsidR="00000000" w:rsidRPr="009672DF" w:rsidP="009672DF">
            <w:pPr>
              <w:pStyle w:val="BodyText"/>
            </w:pPr>
            <w:r w:rsidRPr="009672DF">
              <w:t>rubble, stone and soil</w:t>
            </w:r>
          </w:p>
          <w:p w:rsidR="00000000" w:rsidRPr="009672DF" w:rsidP="009672DF">
            <w:pPr>
              <w:pStyle w:val="BodyText"/>
            </w:pPr>
            <w:r w:rsidRPr="009672DF">
              <w:t>sharps</w:t>
            </w:r>
          </w:p>
          <w:p w:rsidR="00000000" w:rsidRPr="009672DF" w:rsidP="009672DF">
            <w:pPr>
              <w:pStyle w:val="BodyText"/>
            </w:pPr>
            <w:r w:rsidRPr="009672DF">
              <w:t xml:space="preserve">other non-biodegradable materials. </w:t>
            </w:r>
          </w:p>
        </w:tc>
      </w:tr>
    </w:tbl>
    <w:p w:rsidR="00000000" w:rsidRPr="009672DF" w:rsidP="009672DF">
      <w:pPr>
        <w:pStyle w:val="BodyText"/>
      </w:pPr>
    </w:p>
    <w:p w:rsidR="00000000" w:rsidRPr="009672DF" w:rsidP="009672DF">
      <w:pPr>
        <w:pStyle w:val="AllowPageBreak"/>
      </w:pPr>
    </w:p>
    <w:p w:rsidR="00000000" w:rsidRPr="009672DF" w:rsidP="009672DF">
      <w:pPr>
        <w:pStyle w:val="Heading1"/>
      </w:pPr>
      <w:bookmarkStart w:id="12" w:name="O_319180"/>
      <w:bookmarkEnd w:id="12"/>
      <w:r w:rsidRPr="009672DF">
        <w:t>Unit Sector(s)</w:t>
      </w:r>
    </w:p>
    <w:p w:rsidR="00000000" w:rsidRPr="009672DF" w:rsidP="009672DF">
      <w:pPr>
        <w:pStyle w:val="BodyText"/>
      </w:pPr>
      <w:r w:rsidRPr="009672DF">
        <w:t>Not applicable.</w:t>
      </w:r>
    </w:p>
    <w:p w:rsidR="00000000" w:rsidRPr="009672DF" w:rsidP="009672DF"/>
    <w:sectPr w:rsidSect="009672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3F50" w:rsidP="000C3F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50" w:rsidP="009672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C3F50" w:rsidP="009672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C3F50" w:rsidP="009672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3F50" w:rsidP="000C3F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50" w:rsidP="009672DF">
    <w:pPr>
      <w:pStyle w:val="Header"/>
      <w:framePr w:wrap="around"/>
    </w:pPr>
    <w:r>
      <w:fldChar w:fldCharType="begin"/>
    </w:r>
    <w:r>
      <w:instrText xml:space="preserve"> TITLE   \* MERGEFORMAT </w:instrText>
    </w:r>
    <w:r>
      <w:fldChar w:fldCharType="separate"/>
    </w:r>
    <w:r>
      <w:t>RTE2506A Assess and receive raw materials for composting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3F50" w:rsidP="009672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2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72DF"/>
    <w:pPr>
      <w:spacing w:before="360" w:after="60"/>
      <w:outlineLvl w:val="0"/>
    </w:pPr>
    <w:rPr>
      <w:sz w:val="32"/>
    </w:rPr>
  </w:style>
  <w:style w:type="paragraph" w:styleId="Heading2">
    <w:name w:val="heading 2"/>
    <w:basedOn w:val="HeadingBase"/>
    <w:next w:val="BodyText"/>
    <w:link w:val="Heading2Char"/>
    <w:qFormat/>
    <w:rsid w:val="009672DF"/>
    <w:pPr>
      <w:keepLines/>
      <w:spacing w:before="240" w:after="120"/>
      <w:outlineLvl w:val="1"/>
    </w:pPr>
    <w:rPr>
      <w:sz w:val="28"/>
      <w:szCs w:val="40"/>
    </w:rPr>
  </w:style>
  <w:style w:type="paragraph" w:styleId="Heading3">
    <w:name w:val="heading 3"/>
    <w:basedOn w:val="HeadingBase"/>
    <w:next w:val="BodyText"/>
    <w:link w:val="Heading3Char"/>
    <w:qFormat/>
    <w:rsid w:val="009672DF"/>
    <w:pPr>
      <w:spacing w:before="180" w:after="120"/>
      <w:outlineLvl w:val="2"/>
    </w:pPr>
    <w:rPr>
      <w:spacing w:val="-10"/>
      <w:kern w:val="32"/>
    </w:rPr>
  </w:style>
  <w:style w:type="paragraph" w:styleId="Heading4">
    <w:name w:val="heading 4"/>
    <w:basedOn w:val="HeadingBase"/>
    <w:next w:val="BodyText"/>
    <w:link w:val="Heading4Char"/>
    <w:qFormat/>
    <w:rsid w:val="009672DF"/>
    <w:pPr>
      <w:spacing w:before="160" w:after="120"/>
      <w:outlineLvl w:val="3"/>
    </w:pPr>
    <w:rPr>
      <w:sz w:val="22"/>
    </w:rPr>
  </w:style>
  <w:style w:type="paragraph" w:styleId="Heading5">
    <w:name w:val="heading 5"/>
    <w:basedOn w:val="HeadingBase"/>
    <w:next w:val="Normal"/>
    <w:link w:val="Heading5Char"/>
    <w:qFormat/>
    <w:rsid w:val="009672DF"/>
    <w:pPr>
      <w:spacing w:before="80"/>
      <w:outlineLvl w:val="4"/>
    </w:pPr>
    <w:rPr>
      <w:color w:val="918585"/>
      <w:sz w:val="20"/>
    </w:rPr>
  </w:style>
  <w:style w:type="paragraph" w:styleId="Heading6">
    <w:name w:val="heading 6"/>
    <w:basedOn w:val="HeadingBase"/>
    <w:next w:val="Normal"/>
    <w:link w:val="Heading6Char"/>
    <w:qFormat/>
    <w:rsid w:val="009672DF"/>
    <w:pPr>
      <w:spacing w:before="60"/>
      <w:outlineLvl w:val="5"/>
    </w:pPr>
    <w:rPr>
      <w:color w:val="918585"/>
      <w:sz w:val="20"/>
    </w:rPr>
  </w:style>
  <w:style w:type="paragraph" w:styleId="Heading7">
    <w:name w:val="heading 7"/>
    <w:basedOn w:val="Normal"/>
    <w:next w:val="Normal"/>
    <w:link w:val="Heading7Char"/>
    <w:qFormat/>
    <w:rsid w:val="009672DF"/>
    <w:pPr>
      <w:ind w:left="720"/>
      <w:outlineLvl w:val="6"/>
    </w:pPr>
    <w:rPr>
      <w:i/>
    </w:rPr>
  </w:style>
  <w:style w:type="paragraph" w:styleId="Heading8">
    <w:name w:val="heading 8"/>
    <w:basedOn w:val="Normal"/>
    <w:next w:val="Normal"/>
    <w:link w:val="Heading8Char"/>
    <w:qFormat/>
    <w:rsid w:val="009672DF"/>
    <w:pPr>
      <w:ind w:left="720"/>
      <w:outlineLvl w:val="7"/>
    </w:pPr>
    <w:rPr>
      <w:i/>
    </w:rPr>
  </w:style>
  <w:style w:type="paragraph" w:styleId="Heading9">
    <w:name w:val="heading 9"/>
    <w:basedOn w:val="Normal"/>
    <w:next w:val="Normal"/>
    <w:link w:val="Heading9Char"/>
    <w:qFormat/>
    <w:rsid w:val="009672DF"/>
    <w:pPr>
      <w:ind w:left="720"/>
      <w:outlineLvl w:val="8"/>
    </w:pPr>
    <w:rPr>
      <w:i/>
    </w:rPr>
  </w:style>
  <w:style w:type="character" w:default="1" w:styleId="DefaultParagraphFont">
    <w:name w:val="Default Paragraph Font"/>
    <w:uiPriority w:val="1"/>
    <w:unhideWhenUsed/>
    <w:rsid w:val="009672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2DF"/>
  </w:style>
  <w:style w:type="character" w:customStyle="1" w:styleId="Heading1Char">
    <w:name w:val="Heading 1 Char"/>
    <w:basedOn w:val="DefaultParagraphFont"/>
    <w:link w:val="Heading1"/>
    <w:rsid w:val="009672DF"/>
    <w:rPr>
      <w:rFonts w:ascii="Times New Roman" w:eastAsia="Times New Roman" w:hAnsi="Times New Roman" w:cs="Times New Roman"/>
      <w:b/>
      <w:sz w:val="32"/>
      <w:szCs w:val="20"/>
      <w:lang w:eastAsia="en-US"/>
    </w:rPr>
  </w:style>
  <w:style w:type="paragraph" w:styleId="BodyText">
    <w:name w:val="Body Text"/>
    <w:basedOn w:val="Normal"/>
    <w:link w:val="BodyTextChar"/>
    <w:rsid w:val="009672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72DF"/>
    <w:rPr>
      <w:rFonts w:ascii="Times New Roman" w:eastAsia="Times New Roman" w:hAnsi="Times New Roman" w:cs="Times New Roman"/>
      <w:sz w:val="24"/>
      <w:lang w:val="en-US" w:eastAsia="en-US"/>
    </w:rPr>
  </w:style>
  <w:style w:type="paragraph" w:styleId="Footer">
    <w:name w:val="footer"/>
    <w:basedOn w:val="Normal"/>
    <w:link w:val="FooterChar"/>
    <w:rsid w:val="009672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2D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672DF"/>
    <w:rPr>
      <w:b/>
      <w:spacing w:val="0"/>
    </w:rPr>
  </w:style>
  <w:style w:type="paragraph" w:styleId="Header">
    <w:name w:val="header"/>
    <w:basedOn w:val="Normal"/>
    <w:link w:val="HeaderChar"/>
    <w:rsid w:val="009672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2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72DF"/>
    <w:pPr>
      <w:spacing w:before="240" w:after="120"/>
      <w:outlineLvl w:val="0"/>
    </w:pPr>
    <w:rPr>
      <w:rFonts w:ascii="Times New Roman" w:hAnsi="Times New Roman"/>
      <w:b/>
      <w:sz w:val="28"/>
    </w:rPr>
  </w:style>
  <w:style w:type="paragraph" w:customStyle="1" w:styleId="AllowPageBreak">
    <w:name w:val="AllowPageBreak"/>
    <w:rsid w:val="009672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72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2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2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2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2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2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72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72DF"/>
    <w:rPr>
      <w:rFonts w:ascii="Courier New" w:eastAsia="Times New Roman" w:hAnsi="Courier New" w:cs="Times New Roman"/>
      <w:i/>
      <w:szCs w:val="20"/>
      <w:lang w:val="en-US" w:eastAsia="en-US"/>
    </w:rPr>
  </w:style>
  <w:style w:type="paragraph" w:customStyle="1" w:styleId="HeadingBase">
    <w:name w:val="Heading Base"/>
    <w:rsid w:val="009672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2DF"/>
    <w:pPr>
      <w:tabs>
        <w:tab w:val="right" w:leader="dot" w:pos="9072"/>
      </w:tabs>
      <w:ind w:left="567"/>
    </w:pPr>
    <w:rPr>
      <w:szCs w:val="22"/>
    </w:rPr>
  </w:style>
  <w:style w:type="paragraph" w:customStyle="1" w:styleId="TOCBase">
    <w:name w:val="TOC Base"/>
    <w:rsid w:val="009672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2DF"/>
    <w:pPr>
      <w:tabs>
        <w:tab w:val="right" w:leader="dot" w:pos="9072"/>
      </w:tabs>
      <w:spacing w:before="40" w:after="40"/>
      <w:ind w:left="284"/>
    </w:pPr>
    <w:rPr>
      <w:rFonts w:ascii="Times New Roman" w:hAnsi="Times New Roman"/>
    </w:rPr>
  </w:style>
  <w:style w:type="paragraph" w:styleId="TOC1">
    <w:name w:val="toc 1"/>
    <w:basedOn w:val="TOCBase"/>
    <w:next w:val="Normal"/>
    <w:rsid w:val="009672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72DF"/>
    <w:pPr>
      <w:spacing w:before="5040"/>
      <w:jc w:val="center"/>
    </w:pPr>
    <w:rPr>
      <w:sz w:val="48"/>
      <w:szCs w:val="72"/>
      <w:lang w:val="en-US"/>
    </w:rPr>
  </w:style>
  <w:style w:type="character" w:customStyle="1" w:styleId="TitleChar">
    <w:name w:val="Title Char"/>
    <w:basedOn w:val="DefaultParagraphFont"/>
    <w:link w:val="Title"/>
    <w:rsid w:val="009672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2DF"/>
    <w:pPr>
      <w:tabs>
        <w:tab w:val="left" w:pos="3600"/>
        <w:tab w:val="left" w:pos="3958"/>
      </w:tabs>
    </w:pPr>
  </w:style>
  <w:style w:type="paragraph" w:styleId="List">
    <w:name w:val="List"/>
    <w:basedOn w:val="BodyText"/>
    <w:next w:val="BodyText"/>
    <w:rsid w:val="009672DF"/>
    <w:pPr>
      <w:tabs>
        <w:tab w:val="left" w:pos="340"/>
      </w:tabs>
      <w:spacing w:before="60" w:after="60"/>
      <w:ind w:left="340" w:hanging="340"/>
    </w:pPr>
  </w:style>
  <w:style w:type="paragraph" w:styleId="ListBullet">
    <w:name w:val="List Bullet"/>
    <w:basedOn w:val="List"/>
    <w:rsid w:val="009672DF"/>
    <w:pPr>
      <w:numPr>
        <w:numId w:val="11"/>
      </w:numPr>
      <w:tabs>
        <w:tab w:val="clear" w:pos="340"/>
      </w:tabs>
      <w:spacing w:before="40" w:after="40"/>
    </w:pPr>
  </w:style>
  <w:style w:type="paragraph" w:customStyle="1" w:styleId="Note">
    <w:name w:val="Note"/>
    <w:basedOn w:val="BodyText"/>
    <w:rsid w:val="009672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2DF"/>
    <w:pPr>
      <w:framePr w:wrap="auto" w:hAnchor="text" w:y="6049"/>
    </w:pPr>
    <w:rPr>
      <w:color w:val="000000"/>
      <w:sz w:val="40"/>
    </w:rPr>
  </w:style>
  <w:style w:type="paragraph" w:customStyle="1" w:styleId="TOCTitle">
    <w:name w:val="TOCTitle"/>
    <w:basedOn w:val="Heading1"/>
    <w:rsid w:val="009672DF"/>
    <w:pPr>
      <w:spacing w:after="240"/>
      <w:jc w:val="center"/>
      <w:outlineLvl w:val="9"/>
    </w:pPr>
    <w:rPr>
      <w:caps/>
    </w:rPr>
  </w:style>
  <w:style w:type="paragraph" w:customStyle="1" w:styleId="Version">
    <w:name w:val="Version"/>
    <w:rsid w:val="009672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72DF"/>
    <w:pPr>
      <w:numPr>
        <w:numId w:val="12"/>
      </w:numPr>
      <w:tabs>
        <w:tab w:val="clear" w:pos="680"/>
      </w:tabs>
    </w:pPr>
  </w:style>
  <w:style w:type="paragraph" w:styleId="Index1">
    <w:name w:val="index 1"/>
    <w:basedOn w:val="Normal"/>
    <w:next w:val="Normal"/>
    <w:semiHidden/>
    <w:rsid w:val="009672DF"/>
    <w:pPr>
      <w:keepNext w:val="0"/>
      <w:tabs>
        <w:tab w:val="right" w:pos="4176"/>
      </w:tabs>
      <w:ind w:left="198" w:hanging="198"/>
    </w:pPr>
    <w:rPr>
      <w:rFonts w:ascii="Garamond" w:hAnsi="Garamond"/>
    </w:rPr>
  </w:style>
  <w:style w:type="paragraph" w:styleId="IndexHeading">
    <w:name w:val="index heading"/>
    <w:basedOn w:val="Normal"/>
    <w:next w:val="Index1"/>
    <w:semiHidden/>
    <w:rsid w:val="009672DF"/>
    <w:pPr>
      <w:spacing w:before="120" w:after="120"/>
    </w:pPr>
    <w:rPr>
      <w:rFonts w:ascii="Arial" w:hAnsi="Arial"/>
      <w:b/>
      <w:color w:val="918585"/>
      <w:sz w:val="24"/>
    </w:rPr>
  </w:style>
  <w:style w:type="paragraph" w:customStyle="1" w:styleId="Chapter">
    <w:name w:val="Chapter"/>
    <w:basedOn w:val="Normal"/>
    <w:rsid w:val="009672DF"/>
    <w:pPr>
      <w:spacing w:before="240"/>
    </w:pPr>
    <w:rPr>
      <w:rFonts w:ascii="Times New Roman" w:hAnsi="Times New Roman"/>
      <w:smallCaps/>
      <w:spacing w:val="80"/>
      <w:sz w:val="28"/>
    </w:rPr>
  </w:style>
  <w:style w:type="paragraph" w:customStyle="1" w:styleId="InChapter">
    <w:name w:val="InChapter"/>
    <w:basedOn w:val="Heading3"/>
    <w:rsid w:val="009672DF"/>
    <w:pPr>
      <w:spacing w:after="240"/>
      <w:outlineLvl w:val="9"/>
    </w:pPr>
    <w:rPr>
      <w:noProof/>
    </w:rPr>
  </w:style>
  <w:style w:type="paragraph" w:styleId="Index2">
    <w:name w:val="index 2"/>
    <w:basedOn w:val="Normal"/>
    <w:next w:val="Normal"/>
    <w:semiHidden/>
    <w:rsid w:val="009672DF"/>
    <w:pPr>
      <w:tabs>
        <w:tab w:val="right" w:pos="4176"/>
      </w:tabs>
      <w:ind w:left="568" w:hanging="284"/>
    </w:pPr>
    <w:rPr>
      <w:rFonts w:ascii="Garamond" w:hAnsi="Garamond"/>
    </w:rPr>
  </w:style>
  <w:style w:type="paragraph" w:customStyle="1" w:styleId="Byline">
    <w:name w:val="Byline"/>
    <w:rsid w:val="009672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2DF"/>
    <w:pPr>
      <w:tabs>
        <w:tab w:val="clear" w:pos="3600"/>
        <w:tab w:val="clear" w:pos="3958"/>
      </w:tabs>
      <w:jc w:val="right"/>
    </w:pPr>
  </w:style>
  <w:style w:type="character" w:styleId="Emphasis">
    <w:name w:val="Emphasis"/>
    <w:basedOn w:val="DefaultParagraphFont"/>
    <w:qFormat/>
    <w:rsid w:val="009672DF"/>
    <w:rPr>
      <w:i/>
    </w:rPr>
  </w:style>
  <w:style w:type="paragraph" w:styleId="Caption">
    <w:name w:val="caption"/>
    <w:basedOn w:val="BodyText"/>
    <w:next w:val="Normal"/>
    <w:qFormat/>
    <w:rsid w:val="009672DF"/>
    <w:pPr>
      <w:framePr w:w="2268" w:hSpace="181" w:vSpace="181" w:wrap="around" w:vAnchor="text" w:hAnchor="page" w:x="1135" w:y="285" w:anchorLock="1"/>
    </w:pPr>
    <w:rPr>
      <w:i/>
    </w:rPr>
  </w:style>
  <w:style w:type="paragraph" w:customStyle="1" w:styleId="MiniTOCTitle">
    <w:name w:val="MiniTOCTitle"/>
    <w:basedOn w:val="Heading4"/>
    <w:rsid w:val="009672DF"/>
    <w:pPr>
      <w:spacing w:before="240"/>
      <w:outlineLvl w:val="9"/>
    </w:pPr>
    <w:rPr>
      <w:noProof/>
      <w:sz w:val="24"/>
    </w:rPr>
  </w:style>
  <w:style w:type="paragraph" w:customStyle="1" w:styleId="MiniTOCItem">
    <w:name w:val="MiniTOCItem"/>
    <w:basedOn w:val="ListBullet"/>
    <w:rsid w:val="009672DF"/>
    <w:pPr>
      <w:numPr>
        <w:numId w:val="0"/>
      </w:numPr>
      <w:tabs>
        <w:tab w:val="right" w:leader="dot" w:pos="6521"/>
      </w:tabs>
      <w:spacing w:before="0" w:after="0"/>
    </w:pPr>
  </w:style>
  <w:style w:type="paragraph" w:customStyle="1" w:styleId="TOFTitle">
    <w:name w:val="TOFTitle"/>
    <w:basedOn w:val="TOCTitle"/>
    <w:rsid w:val="009672DF"/>
  </w:style>
  <w:style w:type="paragraph" w:styleId="TableofFigures">
    <w:name w:val="table of figures"/>
    <w:basedOn w:val="Normal"/>
    <w:next w:val="Normal"/>
    <w:semiHidden/>
    <w:rsid w:val="009672DF"/>
    <w:pPr>
      <w:tabs>
        <w:tab w:val="right" w:leader="dot" w:pos="9072"/>
      </w:tabs>
      <w:ind w:left="970" w:hanging="403"/>
    </w:pPr>
    <w:rPr>
      <w:rFonts w:ascii="Times New Roman" w:hAnsi="Times New Roman"/>
      <w:b/>
    </w:rPr>
  </w:style>
  <w:style w:type="paragraph" w:styleId="ListNumber">
    <w:name w:val="List Number"/>
    <w:basedOn w:val="List"/>
    <w:rsid w:val="009672DF"/>
    <w:pPr>
      <w:numPr>
        <w:numId w:val="9"/>
      </w:numPr>
    </w:pPr>
  </w:style>
  <w:style w:type="character" w:customStyle="1" w:styleId="WingdingSymbols">
    <w:name w:val="Wingding Symbols"/>
    <w:rsid w:val="009672DF"/>
    <w:rPr>
      <w:rFonts w:ascii="Wingdings" w:hAnsi="Wingdings"/>
    </w:rPr>
  </w:style>
  <w:style w:type="paragraph" w:customStyle="1" w:styleId="TableHeading">
    <w:name w:val="Table Heading"/>
    <w:basedOn w:val="HeadingBase"/>
    <w:rsid w:val="009672DF"/>
    <w:pPr>
      <w:keepLines/>
      <w:pBdr>
        <w:bottom w:val="single" w:sz="6" w:space="1" w:color="918585"/>
      </w:pBdr>
      <w:spacing w:before="240"/>
    </w:pPr>
  </w:style>
  <w:style w:type="character" w:customStyle="1" w:styleId="HotSpot">
    <w:name w:val="HotSpot"/>
    <w:rsid w:val="009672DF"/>
    <w:rPr>
      <w:color w:val="0033CC"/>
      <w:u w:val="none"/>
    </w:rPr>
  </w:style>
  <w:style w:type="paragraph" w:customStyle="1" w:styleId="BodyTextRight">
    <w:name w:val="Body Text Right"/>
    <w:basedOn w:val="BodyText"/>
    <w:rsid w:val="009672DF"/>
    <w:pPr>
      <w:spacing w:before="0" w:after="0"/>
      <w:jc w:val="right"/>
    </w:pPr>
  </w:style>
  <w:style w:type="paragraph" w:styleId="Index3">
    <w:name w:val="index 3"/>
    <w:basedOn w:val="ListNumber2"/>
    <w:next w:val="Normal"/>
    <w:semiHidden/>
    <w:rsid w:val="009672DF"/>
    <w:pPr>
      <w:numPr>
        <w:numId w:val="0"/>
      </w:numPr>
      <w:tabs>
        <w:tab w:val="right" w:leader="dot" w:pos="4176"/>
      </w:tabs>
    </w:pPr>
  </w:style>
  <w:style w:type="paragraph" w:styleId="ListNumber2">
    <w:name w:val="List Number 2"/>
    <w:basedOn w:val="List2"/>
    <w:rsid w:val="009672DF"/>
    <w:pPr>
      <w:numPr>
        <w:numId w:val="8"/>
      </w:numPr>
      <w:tabs>
        <w:tab w:val="clear" w:pos="1060"/>
      </w:tabs>
    </w:pPr>
  </w:style>
  <w:style w:type="paragraph" w:customStyle="1" w:styleId="MarginNote">
    <w:name w:val="Margin Note"/>
    <w:basedOn w:val="BodyText"/>
    <w:rsid w:val="009672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2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2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72DF"/>
    <w:rPr>
      <w:sz w:val="32"/>
    </w:rPr>
  </w:style>
  <w:style w:type="paragraph" w:customStyle="1" w:styleId="HeadingProcedure">
    <w:name w:val="Heading Procedure"/>
    <w:basedOn w:val="HeadingBase"/>
    <w:next w:val="Normal"/>
    <w:rsid w:val="009672DF"/>
    <w:pPr>
      <w:tabs>
        <w:tab w:val="left" w:pos="0"/>
      </w:tabs>
      <w:spacing w:before="120" w:after="60"/>
    </w:pPr>
    <w:rPr>
      <w:i/>
      <w:color w:val="918585"/>
      <w:sz w:val="22"/>
    </w:rPr>
  </w:style>
  <w:style w:type="paragraph" w:customStyle="1" w:styleId="TableBodyText">
    <w:name w:val="Table Body Text"/>
    <w:basedOn w:val="BodyText"/>
    <w:rsid w:val="009672DF"/>
    <w:pPr>
      <w:spacing w:before="60" w:after="60"/>
    </w:pPr>
  </w:style>
  <w:style w:type="paragraph" w:styleId="ListContinue">
    <w:name w:val="List Continue"/>
    <w:basedOn w:val="List"/>
    <w:rsid w:val="009672DF"/>
    <w:pPr>
      <w:ind w:firstLine="0"/>
    </w:pPr>
  </w:style>
  <w:style w:type="paragraph" w:customStyle="1" w:styleId="ListNote">
    <w:name w:val="List Note"/>
    <w:basedOn w:val="List"/>
    <w:rsid w:val="009672DF"/>
    <w:pPr>
      <w:pBdr>
        <w:top w:val="single" w:sz="6" w:space="2" w:color="918585"/>
        <w:bottom w:val="single" w:sz="6" w:space="2" w:color="918585"/>
      </w:pBdr>
      <w:tabs>
        <w:tab w:val="left" w:pos="1021"/>
      </w:tabs>
      <w:ind w:firstLine="0"/>
    </w:pPr>
  </w:style>
  <w:style w:type="paragraph" w:customStyle="1" w:styleId="Warning">
    <w:name w:val="Warning"/>
    <w:basedOn w:val="BodyText"/>
    <w:rsid w:val="009672DF"/>
    <w:pPr>
      <w:shd w:val="clear" w:color="auto" w:fill="D9D9D9"/>
      <w:tabs>
        <w:tab w:val="left" w:pos="992"/>
      </w:tabs>
      <w:ind w:left="119" w:right="119"/>
    </w:pPr>
    <w:rPr>
      <w:sz w:val="20"/>
    </w:rPr>
  </w:style>
  <w:style w:type="paragraph" w:customStyle="1" w:styleId="MarginIcons">
    <w:name w:val="Margin Icons"/>
    <w:basedOn w:val="BodyText"/>
    <w:rsid w:val="009672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2DF"/>
    <w:rPr>
      <w:rFonts w:ascii="Courier New" w:hAnsi="Courier New"/>
    </w:rPr>
  </w:style>
  <w:style w:type="paragraph" w:customStyle="1" w:styleId="NoteBullet">
    <w:name w:val="Note Bullet"/>
    <w:basedOn w:val="Note"/>
    <w:rsid w:val="009672DF"/>
    <w:pPr>
      <w:tabs>
        <w:tab w:val="clear" w:pos="680"/>
      </w:tabs>
      <w:spacing w:before="60" w:after="60"/>
    </w:pPr>
  </w:style>
  <w:style w:type="paragraph" w:customStyle="1" w:styleId="SubHeading2">
    <w:name w:val="SubHeading2"/>
    <w:basedOn w:val="HeadingBase"/>
    <w:rsid w:val="009672DF"/>
    <w:pPr>
      <w:spacing w:before="240" w:after="60"/>
    </w:pPr>
    <w:rPr>
      <w:sz w:val="20"/>
    </w:rPr>
  </w:style>
  <w:style w:type="paragraph" w:customStyle="1" w:styleId="SubHeading1">
    <w:name w:val="SubHeading1"/>
    <w:basedOn w:val="HeadingBase"/>
    <w:rsid w:val="009672DF"/>
    <w:pPr>
      <w:spacing w:before="240" w:after="60"/>
    </w:pPr>
    <w:rPr>
      <w:color w:val="918585"/>
      <w:sz w:val="22"/>
    </w:rPr>
  </w:style>
  <w:style w:type="paragraph" w:customStyle="1" w:styleId="SideHeading">
    <w:name w:val="Side Heading"/>
    <w:basedOn w:val="HeadingBase"/>
    <w:rsid w:val="009672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2DF"/>
    <w:pPr>
      <w:numPr>
        <w:numId w:val="10"/>
      </w:numPr>
    </w:pPr>
  </w:style>
  <w:style w:type="paragraph" w:styleId="PlainText">
    <w:name w:val="Plain Text"/>
    <w:basedOn w:val="Normal"/>
    <w:link w:val="PlainTextChar"/>
    <w:rsid w:val="009672DF"/>
    <w:rPr>
      <w:sz w:val="20"/>
    </w:rPr>
  </w:style>
  <w:style w:type="character" w:customStyle="1" w:styleId="PlainTextChar">
    <w:name w:val="Plain Text Char"/>
    <w:basedOn w:val="DefaultParagraphFont"/>
    <w:link w:val="PlainText"/>
    <w:rsid w:val="009672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72DF"/>
    <w:rPr>
      <w:b/>
      <w:smallCaps/>
    </w:rPr>
  </w:style>
  <w:style w:type="paragraph" w:customStyle="1" w:styleId="TableListNumber">
    <w:name w:val="Table List Number"/>
    <w:basedOn w:val="ListNumber"/>
    <w:rsid w:val="009672DF"/>
    <w:pPr>
      <w:numPr>
        <w:numId w:val="0"/>
      </w:numPr>
    </w:pPr>
  </w:style>
  <w:style w:type="paragraph" w:styleId="TOC4">
    <w:name w:val="toc 4"/>
    <w:basedOn w:val="TOCBase"/>
    <w:next w:val="Normal"/>
    <w:semiHidden/>
    <w:rsid w:val="009672DF"/>
    <w:pPr>
      <w:tabs>
        <w:tab w:val="right" w:leader="dot" w:pos="9071"/>
      </w:tabs>
      <w:ind w:left="1701"/>
    </w:pPr>
  </w:style>
  <w:style w:type="paragraph" w:customStyle="1" w:styleId="ListAlpha">
    <w:name w:val="List Alpha"/>
    <w:basedOn w:val="List"/>
    <w:rsid w:val="009672DF"/>
    <w:pPr>
      <w:numPr>
        <w:numId w:val="7"/>
      </w:numPr>
    </w:pPr>
  </w:style>
  <w:style w:type="paragraph" w:customStyle="1" w:styleId="ListAlpha2">
    <w:name w:val="List Alpha 2"/>
    <w:basedOn w:val="List2"/>
    <w:rsid w:val="009672DF"/>
    <w:pPr>
      <w:numPr>
        <w:numId w:val="6"/>
      </w:numPr>
    </w:pPr>
  </w:style>
  <w:style w:type="paragraph" w:styleId="List2">
    <w:name w:val="List 2"/>
    <w:basedOn w:val="BodyText"/>
    <w:rsid w:val="009672DF"/>
    <w:pPr>
      <w:tabs>
        <w:tab w:val="left" w:pos="680"/>
      </w:tabs>
      <w:spacing w:before="60" w:after="60"/>
      <w:ind w:left="680" w:hanging="340"/>
    </w:pPr>
  </w:style>
  <w:style w:type="paragraph" w:styleId="List3">
    <w:name w:val="List 3"/>
    <w:basedOn w:val="BodyText"/>
    <w:rsid w:val="009672DF"/>
    <w:pPr>
      <w:tabs>
        <w:tab w:val="left" w:pos="1021"/>
      </w:tabs>
      <w:spacing w:before="60" w:after="60"/>
      <w:ind w:left="1020" w:hanging="340"/>
    </w:pPr>
  </w:style>
  <w:style w:type="paragraph" w:styleId="List4">
    <w:name w:val="List 4"/>
    <w:basedOn w:val="BodyText"/>
    <w:rsid w:val="009672DF"/>
    <w:pPr>
      <w:tabs>
        <w:tab w:val="left" w:pos="1361"/>
      </w:tabs>
      <w:spacing w:before="60" w:after="60"/>
      <w:ind w:left="1361" w:hanging="340"/>
    </w:pPr>
  </w:style>
  <w:style w:type="paragraph" w:styleId="List5">
    <w:name w:val="List 5"/>
    <w:basedOn w:val="BodyText"/>
    <w:rsid w:val="009672DF"/>
    <w:pPr>
      <w:tabs>
        <w:tab w:val="left" w:pos="1701"/>
      </w:tabs>
      <w:spacing w:before="60" w:after="60"/>
      <w:ind w:left="1701" w:hanging="340"/>
    </w:pPr>
  </w:style>
  <w:style w:type="paragraph" w:styleId="ListBullet3">
    <w:name w:val="List Bullet 3"/>
    <w:basedOn w:val="List3"/>
    <w:rsid w:val="009672DF"/>
    <w:pPr>
      <w:numPr>
        <w:numId w:val="13"/>
      </w:numPr>
      <w:tabs>
        <w:tab w:val="clear" w:pos="1021"/>
      </w:tabs>
      <w:ind w:left="1037" w:hanging="357"/>
    </w:pPr>
  </w:style>
  <w:style w:type="paragraph" w:styleId="ListBullet4">
    <w:name w:val="List Bullet 4"/>
    <w:basedOn w:val="List4"/>
    <w:rsid w:val="009672DF"/>
    <w:pPr>
      <w:numPr>
        <w:numId w:val="1"/>
      </w:numPr>
    </w:pPr>
  </w:style>
  <w:style w:type="paragraph" w:styleId="ListBullet5">
    <w:name w:val="List Bullet 5"/>
    <w:basedOn w:val="List5"/>
    <w:rsid w:val="009672DF"/>
    <w:pPr>
      <w:numPr>
        <w:numId w:val="2"/>
      </w:numPr>
    </w:pPr>
  </w:style>
  <w:style w:type="paragraph" w:styleId="ListContinue2">
    <w:name w:val="List Continue 2"/>
    <w:basedOn w:val="List2"/>
    <w:rsid w:val="009672DF"/>
    <w:pPr>
      <w:ind w:firstLine="0"/>
    </w:pPr>
  </w:style>
  <w:style w:type="paragraph" w:styleId="ListContinue3">
    <w:name w:val="List Continue 3"/>
    <w:basedOn w:val="List3"/>
    <w:rsid w:val="009672DF"/>
    <w:pPr>
      <w:ind w:left="1021" w:firstLine="0"/>
    </w:pPr>
  </w:style>
  <w:style w:type="paragraph" w:styleId="ListContinue4">
    <w:name w:val="List Continue 4"/>
    <w:basedOn w:val="List4"/>
    <w:rsid w:val="009672DF"/>
    <w:pPr>
      <w:ind w:firstLine="0"/>
    </w:pPr>
  </w:style>
  <w:style w:type="paragraph" w:styleId="ListContinue5">
    <w:name w:val="List Continue 5"/>
    <w:basedOn w:val="List5"/>
    <w:rsid w:val="009672DF"/>
    <w:pPr>
      <w:ind w:firstLine="0"/>
    </w:pPr>
  </w:style>
  <w:style w:type="paragraph" w:styleId="ListNumber3">
    <w:name w:val="List Number 3"/>
    <w:basedOn w:val="List3"/>
    <w:rsid w:val="009672DF"/>
    <w:pPr>
      <w:numPr>
        <w:numId w:val="3"/>
      </w:numPr>
    </w:pPr>
  </w:style>
  <w:style w:type="paragraph" w:styleId="ListNumber4">
    <w:name w:val="List Number 4"/>
    <w:basedOn w:val="List4"/>
    <w:rsid w:val="009672DF"/>
    <w:pPr>
      <w:numPr>
        <w:numId w:val="4"/>
      </w:numPr>
    </w:pPr>
  </w:style>
  <w:style w:type="paragraph" w:styleId="ListNumber5">
    <w:name w:val="List Number 5"/>
    <w:basedOn w:val="List5"/>
    <w:rsid w:val="009672DF"/>
    <w:pPr>
      <w:numPr>
        <w:numId w:val="5"/>
      </w:numPr>
    </w:pPr>
  </w:style>
  <w:style w:type="paragraph" w:styleId="BlockText">
    <w:name w:val="Block Text"/>
    <w:basedOn w:val="Normal"/>
    <w:rsid w:val="009672DF"/>
    <w:pPr>
      <w:spacing w:after="120"/>
      <w:ind w:left="1440" w:right="1440"/>
    </w:pPr>
  </w:style>
  <w:style w:type="character" w:customStyle="1" w:styleId="Subscript">
    <w:name w:val="Subscript"/>
    <w:basedOn w:val="DefaultParagraphFont"/>
    <w:rsid w:val="009672DF"/>
    <w:rPr>
      <w:sz w:val="16"/>
      <w:vertAlign w:val="subscript"/>
    </w:rPr>
  </w:style>
  <w:style w:type="character" w:customStyle="1" w:styleId="Superscript">
    <w:name w:val="Superscript"/>
    <w:basedOn w:val="DefaultParagraphFont"/>
    <w:rsid w:val="009672DF"/>
    <w:rPr>
      <w:sz w:val="16"/>
      <w:vertAlign w:val="superscript"/>
    </w:rPr>
  </w:style>
  <w:style w:type="character" w:customStyle="1" w:styleId="Symbols">
    <w:name w:val="Symbols"/>
    <w:basedOn w:val="DefaultParagraphFont"/>
    <w:rsid w:val="009672DF"/>
    <w:rPr>
      <w:rFonts w:ascii="Symbol" w:hAnsi="Symbol"/>
    </w:rPr>
  </w:style>
  <w:style w:type="character" w:customStyle="1" w:styleId="MenuOptions">
    <w:name w:val="Menu Options"/>
    <w:basedOn w:val="DefaultParagraphFont"/>
    <w:rsid w:val="009672DF"/>
    <w:rPr>
      <w:rFonts w:ascii="Arial Narrow" w:hAnsi="Arial Narrow"/>
      <w:smallCaps/>
    </w:rPr>
  </w:style>
  <w:style w:type="character" w:customStyle="1" w:styleId="Buttons">
    <w:name w:val="Buttons"/>
    <w:basedOn w:val="DefaultParagraphFont"/>
    <w:rsid w:val="009672DF"/>
    <w:rPr>
      <w:b/>
    </w:rPr>
  </w:style>
  <w:style w:type="character" w:customStyle="1" w:styleId="Underlined">
    <w:name w:val="Underlined"/>
    <w:basedOn w:val="DefaultParagraphFont"/>
    <w:rsid w:val="009672DF"/>
    <w:rPr>
      <w:u w:val="single"/>
    </w:rPr>
  </w:style>
  <w:style w:type="paragraph" w:customStyle="1" w:styleId="TableBodyTextRight">
    <w:name w:val="Table Body Text Right"/>
    <w:basedOn w:val="TableBodyText"/>
    <w:rsid w:val="009672DF"/>
    <w:pPr>
      <w:widowControl w:val="0"/>
      <w:autoSpaceDE w:val="0"/>
      <w:autoSpaceDN w:val="0"/>
      <w:adjustRightInd w:val="0"/>
      <w:jc w:val="right"/>
    </w:pPr>
    <w:rPr>
      <w:rFonts w:cs="Arial"/>
      <w:szCs w:val="18"/>
    </w:rPr>
  </w:style>
  <w:style w:type="paragraph" w:customStyle="1" w:styleId="CopyrightText">
    <w:name w:val="Copyright Text"/>
    <w:basedOn w:val="BodyText"/>
    <w:rsid w:val="009672DF"/>
    <w:rPr>
      <w:sz w:val="18"/>
    </w:rPr>
  </w:style>
  <w:style w:type="paragraph" w:customStyle="1" w:styleId="BodySmallRight">
    <w:name w:val="Body Small Right"/>
    <w:basedOn w:val="BodyTextRight"/>
    <w:rsid w:val="009672DF"/>
    <w:rPr>
      <w:sz w:val="18"/>
      <w:szCs w:val="18"/>
    </w:rPr>
  </w:style>
  <w:style w:type="paragraph" w:customStyle="1" w:styleId="MarginEdition">
    <w:name w:val="Margin Edition"/>
    <w:basedOn w:val="MarginNote"/>
    <w:rsid w:val="009672DF"/>
    <w:pPr>
      <w:spacing w:before="0" w:after="0"/>
    </w:pPr>
    <w:rPr>
      <w:rFonts w:ascii="Times New Roman" w:hAnsi="Times New Roman"/>
      <w:color w:val="999999"/>
    </w:rPr>
  </w:style>
  <w:style w:type="paragraph" w:customStyle="1" w:styleId="Spacer">
    <w:name w:val="Spacer"/>
    <w:basedOn w:val="Normal"/>
    <w:rsid w:val="009672DF"/>
    <w:rPr>
      <w:sz w:val="2"/>
      <w:szCs w:val="2"/>
    </w:rPr>
  </w:style>
  <w:style w:type="character" w:customStyle="1" w:styleId="Small">
    <w:name w:val="Small"/>
    <w:basedOn w:val="DefaultParagraphFont"/>
    <w:rsid w:val="009672DF"/>
    <w:rPr>
      <w:sz w:val="16"/>
    </w:rPr>
  </w:style>
  <w:style w:type="paragraph" w:customStyle="1" w:styleId="WideTable">
    <w:name w:val="Wide Table"/>
    <w:basedOn w:val="Normal"/>
    <w:rsid w:val="009672DF"/>
    <w:pPr>
      <w:ind w:left="-1418"/>
    </w:pPr>
    <w:rPr>
      <w:sz w:val="2"/>
      <w:szCs w:val="2"/>
    </w:rPr>
  </w:style>
  <w:style w:type="character" w:styleId="PageNumber">
    <w:name w:val="page number"/>
    <w:basedOn w:val="DefaultParagraphFont"/>
    <w:rsid w:val="009672DF"/>
  </w:style>
  <w:style w:type="paragraph" w:styleId="Quote">
    <w:name w:val="Quote"/>
    <w:basedOn w:val="Heading1"/>
    <w:link w:val="QuoteChar"/>
    <w:qFormat/>
    <w:rsid w:val="009672DF"/>
    <w:rPr>
      <w:b w:val="0"/>
      <w:sz w:val="72"/>
      <w:szCs w:val="72"/>
      <w:lang w:val="en-NZ"/>
    </w:rPr>
  </w:style>
  <w:style w:type="character" w:customStyle="1" w:styleId="QuoteChar">
    <w:name w:val="Quote Char"/>
    <w:basedOn w:val="DefaultParagraphFont"/>
    <w:link w:val="Quote"/>
    <w:rsid w:val="009672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2DF"/>
    <w:pPr>
      <w:pageBreakBefore/>
    </w:pPr>
  </w:style>
  <w:style w:type="paragraph" w:customStyle="1" w:styleId="Border">
    <w:name w:val="Border"/>
    <w:basedOn w:val="Normal"/>
    <w:qFormat/>
    <w:rsid w:val="009672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2DF"/>
    <w:rPr>
      <w:b/>
      <w:bCs/>
      <w:i/>
      <w:iCs/>
      <w:color w:val="auto"/>
    </w:rPr>
  </w:style>
  <w:style w:type="paragraph" w:styleId="IntenseQuote">
    <w:name w:val="Intense Quote"/>
    <w:basedOn w:val="Normal"/>
    <w:next w:val="Normal"/>
    <w:link w:val="IntenseQuoteChar"/>
    <w:uiPriority w:val="30"/>
    <w:qFormat/>
    <w:rsid w:val="009672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2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72DF"/>
    <w:rPr>
      <w:smallCaps/>
      <w:color w:val="auto"/>
      <w:u w:val="single"/>
    </w:rPr>
  </w:style>
  <w:style w:type="character" w:styleId="IntenseReference">
    <w:name w:val="Intense Reference"/>
    <w:basedOn w:val="DefaultParagraphFont"/>
    <w:uiPriority w:val="32"/>
    <w:qFormat/>
    <w:rsid w:val="009672DF"/>
    <w:rPr>
      <w:b/>
      <w:bCs/>
      <w:smallCaps/>
      <w:color w:val="auto"/>
      <w:spacing w:val="5"/>
      <w:u w:val="single"/>
    </w:rPr>
  </w:style>
  <w:style w:type="paragraph" w:customStyle="1" w:styleId="2ColumnHeading">
    <w:name w:val="2Column Heading"/>
    <w:basedOn w:val="BodyText"/>
    <w:qFormat/>
    <w:rsid w:val="009672DF"/>
    <w:pPr>
      <w:spacing w:after="60"/>
      <w:ind w:left="-2268"/>
    </w:pPr>
    <w:rPr>
      <w:b/>
    </w:rPr>
  </w:style>
  <w:style w:type="paragraph" w:customStyle="1" w:styleId="Heading1TOC">
    <w:name w:val="Heading1 TOC"/>
    <w:basedOn w:val="Normal"/>
    <w:qFormat/>
    <w:rsid w:val="009672DF"/>
    <w:pPr>
      <w:spacing w:before="240" w:after="120"/>
    </w:pPr>
    <w:rPr>
      <w:rFonts w:ascii="Times New Roman" w:hAnsi="Times New Roman"/>
      <w:b/>
      <w:sz w:val="32"/>
    </w:rPr>
  </w:style>
  <w:style w:type="paragraph" w:customStyle="1" w:styleId="Heading2TOC">
    <w:name w:val="Heading2 TOC"/>
    <w:basedOn w:val="Normal"/>
    <w:qFormat/>
    <w:rsid w:val="009672DF"/>
    <w:pPr>
      <w:spacing w:before="240" w:after="60"/>
    </w:pPr>
    <w:rPr>
      <w:rFonts w:ascii="Times New Roman" w:hAnsi="Times New Roman"/>
      <w:b/>
      <w:sz w:val="28"/>
    </w:rPr>
  </w:style>
  <w:style w:type="character" w:customStyle="1" w:styleId="Underline">
    <w:name w:val="Underline"/>
    <w:basedOn w:val="DefaultParagraphFont"/>
    <w:qFormat/>
    <w:rsid w:val="009672DF"/>
    <w:rPr>
      <w:u w:val="single"/>
    </w:rPr>
  </w:style>
  <w:style w:type="character" w:customStyle="1" w:styleId="BoldandItalics">
    <w:name w:val="Bold and Italics"/>
    <w:qFormat/>
    <w:rsid w:val="009672DF"/>
    <w:rPr>
      <w:b/>
      <w:i/>
      <w:u w:val="none"/>
    </w:rPr>
  </w:style>
  <w:style w:type="paragraph" w:styleId="BalloonText">
    <w:name w:val="Balloon Text"/>
    <w:basedOn w:val="Normal"/>
    <w:link w:val="BalloonTextChar"/>
    <w:rsid w:val="009672DF"/>
    <w:rPr>
      <w:rFonts w:ascii="Tahoma" w:hAnsi="Tahoma" w:cs="Tahoma"/>
      <w:sz w:val="16"/>
      <w:szCs w:val="16"/>
    </w:rPr>
  </w:style>
  <w:style w:type="character" w:customStyle="1" w:styleId="BalloonTextChar">
    <w:name w:val="Balloon Text Char"/>
    <w:basedOn w:val="DefaultParagraphFont"/>
    <w:link w:val="BalloonText"/>
    <w:rsid w:val="009672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72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72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1455</Words>
  <Characters>9023</Characters>
  <Application>Microsoft Office Word</Application>
  <DocSecurity>0</DocSecurity>
  <Lines>323</Lines>
  <Paragraphs>193</Paragraphs>
  <ScaleCrop>false</ScaleCrop>
  <Company>Author-it Software Corporation Ltd.</Company>
  <LinksUpToDate>false</LinksUpToDate>
  <CharactersWithSpaces>10330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RTE2506A Assess and receive raw materials for composting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2012-05-27T07:40:00Z</dcterms:created>
  <dcterms:modified xsi:type="dcterms:W3CDTF">2012-05-27T07:40:00Z</dcterms:modified>
</cp:coreProperties>
</file>