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6A9" w:rsidP="00FE36A9">
      <w:pPr>
        <w:pStyle w:val="Title"/>
      </w:pPr>
      <w:r>
        <w:fldChar w:fldCharType="begin"/>
      </w:r>
      <w:r>
        <w:instrText xml:space="preserve"> TITLE   \* MERGEFORMAT </w:instrText>
      </w:r>
      <w:r>
        <w:fldChar w:fldCharType="separate"/>
      </w:r>
      <w:r>
        <w:t>RTE2002A Assist with prescribed burning</w:t>
      </w:r>
      <w:r>
        <w:fldChar w:fldCharType="end"/>
      </w:r>
    </w:p>
    <w:p w:rsidR="00FE36A9" w:rsidP="00FE36A9">
      <w:pPr>
        <w:pStyle w:val="Version"/>
        <w:sectPr w:rsidSect="00E770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08C" w:rsidP="00E7708C">
      <w:pPr>
        <w:pStyle w:val="SuperHeading"/>
      </w:pPr>
      <w:r w:rsidRPr="00E7708C">
        <w:t>RTE2002A Assist with prescribed burning</w:t>
      </w:r>
    </w:p>
    <w:p w:rsidR="00000000" w:rsidRPr="00E7708C" w:rsidP="00E7708C">
      <w:pPr>
        <w:pStyle w:val="Heading1"/>
      </w:pPr>
      <w:bookmarkStart w:id="1" w:name="O_319036"/>
      <w:bookmarkEnd w:id="1"/>
      <w:r w:rsidRPr="00E7708C">
        <w:t>Modification History</w:t>
      </w:r>
    </w:p>
    <w:p w:rsidR="00000000" w:rsidRPr="00E7708C" w:rsidP="00E7708C">
      <w:pPr>
        <w:pStyle w:val="BodyText"/>
      </w:pPr>
      <w:r w:rsidRPr="00E7708C">
        <w:t>Not applicable.</w:t>
      </w:r>
    </w:p>
    <w:p w:rsidR="00000000" w:rsidRPr="00E7708C" w:rsidP="00E7708C">
      <w:pPr>
        <w:pStyle w:val="AllowPageBreak"/>
      </w:pPr>
    </w:p>
    <w:p w:rsidR="00000000" w:rsidRPr="00E7708C" w:rsidP="00E7708C">
      <w:pPr>
        <w:pStyle w:val="Heading1"/>
      </w:pPr>
      <w:bookmarkStart w:id="2" w:name="O_319045"/>
      <w:bookmarkEnd w:id="2"/>
      <w:r w:rsidRPr="00E7708C">
        <w:t>Unit Descriptor</w:t>
      </w:r>
    </w:p>
    <w:p w:rsidR="00000000" w:rsidRPr="00E7708C" w:rsidP="00E7708C">
      <w:pPr>
        <w:pStyle w:val="BodyText"/>
      </w:pPr>
      <w:r w:rsidRPr="00E7708C">
        <w:t>This competency standard covers the proc</w:t>
      </w:r>
      <w:r w:rsidRPr="00E7708C">
        <w:t>ess of assisting with prescribed burning for agricultural or natural resource purposes.  It requires the ability to assist with preparations for the burn, support the conduct of the burn and participate in clean up activities.  Assisting with prescribed bu</w:t>
      </w:r>
      <w:r w:rsidRPr="00E7708C">
        <w:t>rning requires knowledge of fire behaviour, extinguishing media and equipment, burning tactics and techniques, fire hazards, safety techniques, and organisations operating procedures.</w:t>
      </w:r>
    </w:p>
    <w:p w:rsidR="00000000" w:rsidRPr="00E7708C" w:rsidP="00E7708C">
      <w:pPr>
        <w:pStyle w:val="AllowPageBreak"/>
      </w:pPr>
    </w:p>
    <w:p w:rsidR="00000000" w:rsidRPr="00E7708C" w:rsidP="00E7708C">
      <w:pPr>
        <w:pStyle w:val="Heading1"/>
      </w:pPr>
      <w:bookmarkStart w:id="3" w:name="O_319044"/>
      <w:bookmarkEnd w:id="3"/>
      <w:r w:rsidRPr="00E7708C">
        <w:t>Application of the Unit</w:t>
      </w:r>
    </w:p>
    <w:p w:rsidR="00000000" w:rsidRPr="00E7708C" w:rsidP="00E7708C">
      <w:pPr>
        <w:pStyle w:val="BodyText"/>
      </w:pPr>
      <w:r w:rsidRPr="00E7708C">
        <w:t>Not applicable.</w:t>
      </w:r>
    </w:p>
    <w:p w:rsidR="00000000" w:rsidRPr="00E7708C" w:rsidP="00E7708C">
      <w:pPr>
        <w:pStyle w:val="AllowPageBreak"/>
      </w:pPr>
    </w:p>
    <w:p w:rsidR="00000000" w:rsidRPr="00E7708C" w:rsidP="00E7708C">
      <w:pPr>
        <w:pStyle w:val="Heading1"/>
      </w:pPr>
      <w:bookmarkStart w:id="4" w:name="O_319043"/>
      <w:bookmarkEnd w:id="4"/>
      <w:r w:rsidRPr="00E7708C">
        <w:t>Licensing/Regulatory Information</w:t>
      </w:r>
    </w:p>
    <w:p w:rsidR="00000000" w:rsidRPr="00E7708C" w:rsidP="00E7708C">
      <w:pPr>
        <w:pStyle w:val="BodyText"/>
      </w:pPr>
      <w:r w:rsidRPr="00E7708C">
        <w:t>Not applicable.</w:t>
      </w:r>
    </w:p>
    <w:p w:rsidR="00000000" w:rsidRPr="00E7708C" w:rsidP="00E7708C">
      <w:pPr>
        <w:pStyle w:val="AllowPageBreak"/>
      </w:pPr>
    </w:p>
    <w:p w:rsidR="00000000" w:rsidRPr="00E7708C" w:rsidP="00E7708C">
      <w:pPr>
        <w:pStyle w:val="Heading1"/>
      </w:pPr>
      <w:bookmarkStart w:id="5" w:name="O_319042"/>
      <w:bookmarkEnd w:id="5"/>
      <w:r w:rsidRPr="00E7708C">
        <w:t>Pre-Requisites</w:t>
      </w:r>
    </w:p>
    <w:p w:rsidR="00000000" w:rsidRPr="00E7708C" w:rsidP="00E7708C">
      <w:pPr>
        <w:pStyle w:val="BodyText"/>
      </w:pPr>
      <w:r w:rsidRPr="00E7708C">
        <w:t>Not applicable.</w:t>
      </w:r>
    </w:p>
    <w:p w:rsidR="00000000" w:rsidRPr="00E7708C" w:rsidP="00E7708C">
      <w:pPr>
        <w:pStyle w:val="AllowPageBreak"/>
      </w:pPr>
    </w:p>
    <w:p w:rsidR="00000000" w:rsidRPr="00E7708C" w:rsidP="00E7708C">
      <w:pPr>
        <w:pStyle w:val="Heading1"/>
      </w:pPr>
      <w:bookmarkStart w:id="6" w:name="O_319035"/>
      <w:bookmarkEnd w:id="6"/>
      <w:r w:rsidRPr="00E7708C">
        <w:t>Employability Skills Information</w:t>
      </w:r>
    </w:p>
    <w:p w:rsidR="00000000" w:rsidRPr="00E7708C" w:rsidP="00E7708C">
      <w:pPr>
        <w:pStyle w:val="BodyText"/>
      </w:pPr>
      <w:r w:rsidRPr="00E7708C">
        <w:t>Not applicable.</w:t>
      </w:r>
    </w:p>
    <w:p w:rsidR="00000000" w:rsidRPr="00E7708C" w:rsidP="00E7708C">
      <w:pPr>
        <w:pStyle w:val="AllowPageBreak"/>
      </w:pPr>
    </w:p>
    <w:p w:rsidR="00000000" w:rsidRPr="00E7708C" w:rsidP="00E7708C">
      <w:pPr>
        <w:pStyle w:val="Heading1"/>
      </w:pPr>
      <w:bookmarkStart w:id="7" w:name="O_319040"/>
      <w:bookmarkEnd w:id="7"/>
      <w:r w:rsidRPr="00E7708C">
        <w:t>Elements and Performance Criteria Pre-Content</w:t>
      </w:r>
    </w:p>
    <w:p w:rsidR="00000000" w:rsidRPr="00E7708C" w:rsidP="00E7708C">
      <w:pPr>
        <w:pStyle w:val="BodyText"/>
      </w:pPr>
      <w:r w:rsidRPr="00E7708C">
        <w:t>Not applicable.</w:t>
      </w:r>
    </w:p>
    <w:p w:rsidR="00000000" w:rsidRPr="00E7708C" w:rsidP="00E7708C">
      <w:pPr>
        <w:pStyle w:val="AllowPageBreak"/>
      </w:pPr>
    </w:p>
    <w:p w:rsidR="00000000" w:rsidRPr="00E7708C" w:rsidP="00E7708C">
      <w:pPr>
        <w:pStyle w:val="Heading1"/>
      </w:pPr>
      <w:bookmarkStart w:id="8" w:name="O_319046"/>
      <w:bookmarkEnd w:id="8"/>
      <w:r w:rsidRPr="00E7708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E36A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Elements and Performance Criteria</w:t>
            </w:r>
          </w:p>
        </w:tc>
      </w:tr>
      <w:tr w:rsidTr="00FE36A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Performance Criteria</w:t>
            </w:r>
          </w:p>
        </w:tc>
      </w:tr>
      <w:tr w:rsidTr="00FE36A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1</w:t>
            </w:r>
          </w:p>
        </w:tc>
        <w:tc>
          <w:tcPr>
            <w:tcW w:w="3000" w:type="dxa"/>
            <w:vMerge w:val="restart"/>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Assist with preparations for the burn </w:t>
            </w:r>
          </w:p>
        </w:tc>
        <w:tc>
          <w:tcPr>
            <w:tcW w:w="500" w:type="dxa"/>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1.1</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 xml:space="preserve">Machinery and equipment </w:t>
            </w:r>
            <w:r w:rsidRPr="00E7708C">
              <w:t>to be used in the burn are prepared for use as directed.</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1.2</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Safety equipment is checked and prepared for use.</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1.3</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Information about contingency plans is read or listened to and clarification sought where required.</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1.4</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 xml:space="preserve">Assets </w:t>
            </w:r>
            <w:r w:rsidRPr="00E7708C">
              <w:t>requiring protection during the burn are recognised and noted.</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1.5</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Personal role and activities during the burn are checked with supervisor.</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1.6</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Location and extent of the burn is discussed and clarified with the supervisor.</w:t>
            </w:r>
          </w:p>
        </w:tc>
      </w:tr>
      <w:tr w:rsidTr="00FE36A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2</w:t>
            </w:r>
          </w:p>
        </w:tc>
        <w:tc>
          <w:tcPr>
            <w:tcW w:w="3000" w:type="dxa"/>
            <w:vMerge w:val="restart"/>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Support conduct of burn</w:t>
            </w: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2.1</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Assistance with pre-burn checks is provided as directed by the supervisor.</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2.2</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Burn operations are undertaken in a safe manner.</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2.3</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Problems or concerns during the burn are raised with the supervisor.</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2.4</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Communication is maintained at all times in accordance with the organisation's procedures.</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2.5</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 xml:space="preserve">Conditions </w:t>
            </w:r>
            <w:r w:rsidRPr="00E7708C">
              <w:t>at the fire are observed and their effect on fire behaviour and development are noted and reported to the supervisor.</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2.6</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 xml:space="preserve">Weather conditions </w:t>
            </w:r>
            <w:r w:rsidRPr="00E7708C">
              <w:t>and</w:t>
            </w:r>
            <w:r w:rsidRPr="00E7708C">
              <w:t xml:space="preserve"> changes to fire behaviour are observed and reported to the supervisor.</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2.7</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A safe escape route is identified and maintained at all times.</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2.8</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Personal protective equipment is fitted properly and worn throughout the burn.</w:t>
            </w:r>
          </w:p>
        </w:tc>
      </w:tr>
      <w:tr w:rsidTr="00FE36A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3</w:t>
            </w:r>
          </w:p>
        </w:tc>
        <w:tc>
          <w:tcPr>
            <w:tcW w:w="3000" w:type="dxa"/>
            <w:vMerge w:val="restart"/>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Participate in clean up activities </w:t>
            </w: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3.1</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Cleaning-up activities are carried out under direction in accordance with the organisation's procedures.</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3.2</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Personal protective equipment is cleaned and returned to storage.</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3.3</w:t>
            </w:r>
          </w:p>
        </w:tc>
        <w:tc>
          <w:tcPr>
            <w:tcW w:w="51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Machinery and equipment used in</w:t>
            </w:r>
            <w:r w:rsidRPr="00E7708C">
              <w:t xml:space="preserve"> the burn are cleaned and returned to storage.</w:t>
            </w:r>
          </w:p>
        </w:tc>
      </w:tr>
      <w:tr w:rsidTr="00FE36A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3.4</w:t>
            </w:r>
          </w:p>
        </w:tc>
        <w:tc>
          <w:tcPr>
            <w:tcW w:w="5100" w:type="dxa"/>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Cleaning and maintenance are carried out in accordance with the organisation's procedures.</w:t>
            </w:r>
          </w:p>
        </w:tc>
      </w:tr>
    </w:tbl>
    <w:p w:rsidR="00000000" w:rsidRPr="00E7708C" w:rsidP="00E7708C">
      <w:pPr>
        <w:pStyle w:val="BodyText"/>
      </w:pPr>
    </w:p>
    <w:p w:rsidR="00000000" w:rsidRPr="00E7708C" w:rsidP="00E7708C">
      <w:pPr>
        <w:pStyle w:val="AllowPageBreak"/>
      </w:pPr>
    </w:p>
    <w:p w:rsidR="00000000" w:rsidRPr="00E7708C" w:rsidP="00E7708C">
      <w:pPr>
        <w:pStyle w:val="Heading1"/>
      </w:pPr>
      <w:bookmarkStart w:id="9" w:name="O_319039"/>
      <w:bookmarkEnd w:id="9"/>
      <w:r w:rsidRPr="00E7708C">
        <w:t>Required Skills and Knowledge</w:t>
      </w:r>
    </w:p>
    <w:p w:rsidR="00000000" w:rsidRPr="00E7708C" w:rsidP="00E7708C">
      <w:pPr>
        <w:pStyle w:val="BodyText"/>
      </w:pPr>
      <w:r w:rsidRPr="00E7708C">
        <w:t>Not applicable.</w:t>
      </w:r>
    </w:p>
    <w:p w:rsidR="00000000" w:rsidRPr="00E7708C" w:rsidP="00E7708C">
      <w:pPr>
        <w:pStyle w:val="AllowPageBreak"/>
      </w:pPr>
    </w:p>
    <w:p w:rsidR="00000000" w:rsidRPr="00E7708C" w:rsidP="00E7708C">
      <w:pPr>
        <w:pStyle w:val="Heading1"/>
      </w:pPr>
      <w:bookmarkStart w:id="10" w:name="O_319038"/>
      <w:bookmarkEnd w:id="10"/>
      <w:r w:rsidRPr="00E7708C">
        <w:t>Evidence Guide</w:t>
      </w:r>
    </w:p>
    <w:tbl>
      <w:tblPr>
        <w:tblW w:w="0" w:type="auto"/>
        <w:tblLayout w:type="fixed"/>
        <w:tblCellMar>
          <w:left w:w="62" w:type="dxa"/>
          <w:right w:w="62" w:type="dxa"/>
        </w:tblCellMar>
        <w:tblLook w:val="0000"/>
      </w:tblPr>
      <w:tblGrid>
        <w:gridCol w:w="4500"/>
        <w:gridCol w:w="4500"/>
      </w:tblGrid>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rPr>
                <w:rStyle w:val="SpecialBold"/>
              </w:rPr>
              <w:t>What evidence is required to demonstrate competence for this standard as a whole</w:t>
            </w:r>
            <w:r w:rsidRPr="00E7708C">
              <w:t>?</w:t>
            </w:r>
          </w:p>
          <w:p w:rsidR="00000000" w:rsidP="00E7708C">
            <w:pPr>
              <w:pStyle w:val="BodyText"/>
              <w:rPr>
                <w:lang w:val="en-NZ"/>
              </w:rPr>
            </w:pPr>
            <w:r w:rsidRPr="00E7708C">
              <w:t>Competence in assisting with prescribed burning requires evidence that there has been active and safe participation in a prescribed burn.  The skills and knowledge required t</w:t>
            </w:r>
            <w:r w:rsidRPr="00E7708C">
              <w:t xml:space="preserve">o assist with prescribed burning must be </w:t>
            </w:r>
            <w:r w:rsidRPr="00E7708C">
              <w:rPr>
                <w:rStyle w:val="SpecialBold"/>
              </w:rPr>
              <w:t>transferable</w:t>
            </w:r>
            <w:r w:rsidRPr="00E7708C">
              <w:t xml:space="preserve"> to a range of work environments and contexts.  For example, this could include different enterprises and reasons for burns. </w:t>
            </w: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What specific knowledge is needed to achieve the performance criteria</w:t>
            </w:r>
            <w:r w:rsidRPr="00E7708C">
              <w:t xml:space="preserve">? </w:t>
            </w:r>
          </w:p>
        </w:tc>
        <w:tc>
          <w:tcPr>
            <w:tcW w:w="4500" w:type="dxa"/>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 xml:space="preserve">Knowledge and understanding are essential to apply this standard in the workplace, to transfer the skills to other contexts, and to deal with unplanned events.  The knowledge requirements for this unit are listed below:    </w:t>
            </w:r>
          </w:p>
          <w:p w:rsidR="00000000" w:rsidRPr="00E7708C" w:rsidP="00E7708C">
            <w:pPr>
              <w:pStyle w:val="BodyText"/>
            </w:pPr>
            <w:r w:rsidRPr="00E7708C">
              <w:t>fire behaviour</w:t>
            </w:r>
          </w:p>
          <w:p w:rsidR="00000000" w:rsidRPr="00E7708C" w:rsidP="00E7708C">
            <w:pPr>
              <w:pStyle w:val="BodyText"/>
            </w:pPr>
            <w:r w:rsidRPr="00E7708C">
              <w:t xml:space="preserve">extinguishing </w:t>
            </w:r>
            <w:r w:rsidRPr="00E7708C">
              <w:t>media and equipment</w:t>
            </w:r>
          </w:p>
          <w:p w:rsidR="00000000" w:rsidRPr="00E7708C" w:rsidP="00E7708C">
            <w:pPr>
              <w:pStyle w:val="BodyText"/>
            </w:pPr>
            <w:r w:rsidRPr="00E7708C">
              <w:t>burning tactics and techniques</w:t>
            </w:r>
          </w:p>
          <w:p w:rsidR="00000000" w:rsidRPr="00E7708C" w:rsidP="00E7708C">
            <w:pPr>
              <w:pStyle w:val="BodyText"/>
            </w:pPr>
            <w:r w:rsidRPr="00E7708C">
              <w:t>fire hazards, safety techniques</w:t>
            </w:r>
          </w:p>
          <w:p w:rsidR="00000000" w:rsidP="00E7708C">
            <w:pPr>
              <w:pStyle w:val="BodyText"/>
              <w:rPr>
                <w:lang w:val="en-NZ"/>
              </w:rPr>
            </w:pPr>
            <w:r w:rsidRPr="00E7708C">
              <w:t xml:space="preserve">organisations operating procedures.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rPr>
                <w:rStyle w:val="SpecialBold"/>
              </w:rPr>
              <w:t>What specific skills are needed to achieve the performance criteria</w:t>
            </w:r>
            <w:r w:rsidRPr="00E7708C">
              <w:t xml:space="preserve">? </w:t>
            </w:r>
          </w:p>
        </w:tc>
        <w:tc>
          <w:tcPr>
            <w:tcW w:w="4500" w:type="dxa"/>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 xml:space="preserve">To achieve the performance criteria, some complementary skills are required.  These skills include the ability to:    </w:t>
            </w:r>
          </w:p>
          <w:p w:rsidR="00000000" w:rsidRPr="00E7708C" w:rsidP="00E7708C">
            <w:pPr>
              <w:pStyle w:val="BodyText"/>
            </w:pPr>
            <w:r w:rsidRPr="00E7708C">
              <w:t>assist with preparations for the burn</w:t>
            </w:r>
          </w:p>
          <w:p w:rsidR="00000000" w:rsidRPr="00E7708C" w:rsidP="00E7708C">
            <w:pPr>
              <w:pStyle w:val="BodyText"/>
            </w:pPr>
            <w:r w:rsidRPr="00E7708C">
              <w:t>support conduct of the burn</w:t>
            </w:r>
          </w:p>
          <w:p w:rsidR="00000000" w:rsidP="00E7708C">
            <w:pPr>
              <w:pStyle w:val="BodyText"/>
              <w:rPr>
                <w:lang w:val="en-NZ"/>
              </w:rPr>
            </w:pPr>
            <w:r w:rsidRPr="00E7708C">
              <w:t xml:space="preserve">participate in clean up activities.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rPr>
                <w:rStyle w:val="SpecialBold"/>
              </w:rPr>
              <w:t>What processes should be ap</w:t>
            </w:r>
            <w:r w:rsidRPr="00E7708C">
              <w:rPr>
                <w:rStyle w:val="SpecialBold"/>
              </w:rPr>
              <w:t>plied to this competency standard</w:t>
            </w:r>
            <w:r w:rsidRPr="00E7708C">
              <w:t>?</w:t>
            </w:r>
          </w:p>
          <w:p w:rsidR="00000000" w:rsidP="00E7708C">
            <w:pPr>
              <w:pStyle w:val="BodyText"/>
              <w:rPr>
                <w:lang w:val="en-NZ"/>
              </w:rPr>
            </w:pPr>
            <w:r w:rsidRPr="00E7708C">
              <w:t>There are a number of processes that are learnt throughout work and life, which are required in all jobs.  They are fundamental processes and generally transferable to other work functions.  Some of these are covered by t</w:t>
            </w:r>
            <w:r w:rsidRPr="00E7708C">
              <w:t xml:space="preserve">he </w:t>
            </w:r>
            <w:r w:rsidRPr="00E7708C">
              <w:rPr>
                <w:rStyle w:val="SpecialBold"/>
              </w:rPr>
              <w:t>key competencies</w:t>
            </w:r>
            <w:r w:rsidRPr="00E7708C">
              <w:t>, although others may be added.  The questions below highlight how these processes are applied in this competency standard.  Following each question a number in brackets indicates the level to which the key competency needs to be demonst</w:t>
            </w:r>
            <w:r w:rsidRPr="00E7708C">
              <w:t xml:space="preserve">rated where 0 = not required, 1 = perform the process, 2 = perform and administer the process and 3 = perform, administer and design the process.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1. How can </w:t>
            </w:r>
            <w:r w:rsidRPr="00E7708C">
              <w:rPr>
                <w:rStyle w:val="SpecialBold"/>
              </w:rPr>
              <w:t>communication of ideas and information</w:t>
            </w:r>
            <w:r w:rsidRPr="00E7708C">
              <w:t xml:space="preserve"> (</w:t>
            </w:r>
            <w:r w:rsidRPr="00E7708C">
              <w:rPr>
                <w:rStyle w:val="SpecialBold"/>
              </w:rPr>
              <w:t>1</w:t>
            </w:r>
            <w:r w:rsidRPr="00E77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Through radio and hand signals during the burn.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2. How can </w:t>
            </w:r>
            <w:r w:rsidRPr="00E7708C">
              <w:rPr>
                <w:rStyle w:val="SpecialBold"/>
              </w:rPr>
              <w:t>information be collected</w:t>
            </w:r>
            <w:r w:rsidRPr="00E7708C">
              <w:t xml:space="preserve">, </w:t>
            </w:r>
            <w:r w:rsidRPr="00E7708C">
              <w:rPr>
                <w:rStyle w:val="SpecialBold"/>
              </w:rPr>
              <w:t>analysed and organised</w:t>
            </w:r>
            <w:r w:rsidRPr="00E7708C">
              <w:t xml:space="preserve"> (</w:t>
            </w:r>
            <w:r w:rsidRPr="00E7708C">
              <w:rPr>
                <w:rStyle w:val="SpecialBold"/>
              </w:rPr>
              <w:t>1</w:t>
            </w:r>
            <w:r w:rsidRPr="00E7708C">
              <w:t xml:space="preserve">)?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Through monitoring weather and condition of fire.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3. How are </w:t>
            </w:r>
            <w:r w:rsidRPr="00E7708C">
              <w:rPr>
                <w:rStyle w:val="SpecialBold"/>
              </w:rPr>
              <w:t>activities planned and organised</w:t>
            </w:r>
            <w:r w:rsidRPr="00E7708C">
              <w:t xml:space="preserve"> (</w:t>
            </w:r>
            <w:r w:rsidRPr="00E7708C">
              <w:rPr>
                <w:rStyle w:val="SpecialBold"/>
              </w:rPr>
              <w:t>1</w:t>
            </w:r>
            <w:r w:rsidRPr="00E7708C">
              <w:t xml:space="preserve">)?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According to recognised fire safety pr</w:t>
            </w:r>
            <w:r w:rsidRPr="00E7708C">
              <w:t xml:space="preserve">actices and procedures.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4. How can </w:t>
            </w:r>
            <w:r w:rsidRPr="00E7708C">
              <w:rPr>
                <w:rStyle w:val="SpecialBold"/>
              </w:rPr>
              <w:t>team work</w:t>
            </w:r>
            <w:r w:rsidRPr="00E7708C">
              <w:t xml:space="preserve"> (</w:t>
            </w:r>
            <w:r w:rsidRPr="00E7708C">
              <w:rPr>
                <w:rStyle w:val="SpecialBold"/>
              </w:rPr>
              <w:t>1</w:t>
            </w:r>
            <w:r w:rsidRPr="00E77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By participation with others in the burn preparation, conducting and cleaning up.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5. How can the use of </w:t>
            </w:r>
            <w:r w:rsidRPr="00E7708C">
              <w:rPr>
                <w:rStyle w:val="SpecialBold"/>
              </w:rPr>
              <w:t>mathematical ideas and techniques</w:t>
            </w:r>
            <w:r w:rsidRPr="00E7708C">
              <w:t xml:space="preserve"> (</w:t>
            </w:r>
            <w:r w:rsidRPr="00E7708C">
              <w:rPr>
                <w:rStyle w:val="SpecialBold"/>
              </w:rPr>
              <w:t>1</w:t>
            </w:r>
            <w:r w:rsidRPr="00E77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By determining line of sight for ra</w:t>
            </w:r>
            <w:r w:rsidRPr="00E7708C">
              <w:t xml:space="preserve">dio communications.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6. How can </w:t>
            </w:r>
            <w:r w:rsidRPr="00E7708C">
              <w:rPr>
                <w:rStyle w:val="SpecialBold"/>
              </w:rPr>
              <w:t>problem</w:t>
            </w:r>
            <w:r w:rsidRPr="00E7708C">
              <w:t>-</w:t>
            </w:r>
            <w:r w:rsidRPr="00E7708C">
              <w:rPr>
                <w:rStyle w:val="SpecialBold"/>
              </w:rPr>
              <w:t>solving skills</w:t>
            </w:r>
            <w:r w:rsidRPr="00E7708C">
              <w:t xml:space="preserve"> (</w:t>
            </w:r>
            <w:r w:rsidRPr="00E7708C">
              <w:rPr>
                <w:rStyle w:val="SpecialBold"/>
              </w:rPr>
              <w:t>1</w:t>
            </w:r>
            <w:r w:rsidRPr="00E77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Through observing weather and fire conditions and reporting to the supervisor.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7. How can the </w:t>
            </w:r>
            <w:r w:rsidRPr="00E7708C">
              <w:rPr>
                <w:rStyle w:val="SpecialBold"/>
              </w:rPr>
              <w:t>use of technology</w:t>
            </w:r>
            <w:r w:rsidRPr="00E7708C">
              <w:t xml:space="preserve"> (</w:t>
            </w:r>
            <w:r w:rsidRPr="00E7708C">
              <w:rPr>
                <w:rStyle w:val="SpecialBold"/>
              </w:rPr>
              <w:t>3</w:t>
            </w:r>
            <w:r w:rsidRPr="00E7708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Through use of fire control equipment and communication systems.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rPr>
                <w:rStyle w:val="SpecialBold"/>
              </w:rPr>
              <w:t>Are there other competency standards that could be assessed with this one</w:t>
            </w:r>
            <w:r w:rsidRPr="00E7708C">
              <w:t>?</w:t>
            </w:r>
          </w:p>
          <w:p w:rsidR="00000000" w:rsidP="00E7708C">
            <w:pPr>
              <w:pStyle w:val="BodyText"/>
              <w:rPr>
                <w:lang w:val="en-NZ"/>
              </w:rPr>
            </w:pPr>
            <w:r w:rsidRPr="00E7708C">
              <w:t xml:space="preserve">This competency standard </w:t>
            </w:r>
            <w:r w:rsidRPr="00E7708C">
              <w:rPr>
                <w:rStyle w:val="SpecialBold"/>
              </w:rPr>
              <w:t>could</w:t>
            </w:r>
            <w:r w:rsidRPr="00E7708C">
              <w:t xml:space="preserve"> be assessed on its own or in combinati</w:t>
            </w:r>
            <w:r w:rsidRPr="00E7708C">
              <w:t xml:space="preserve">on with other competencies relevant to the job function.   </w:t>
            </w: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08C">
            <w:pPr>
              <w:pStyle w:val="BodyText"/>
              <w:rPr>
                <w:lang w:val="en-NZ"/>
              </w:rPr>
            </w:pP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t xml:space="preserve">There is essential information about </w:t>
            </w:r>
            <w:r w:rsidRPr="00E7708C">
              <w:rPr>
                <w:rStyle w:val="SpecialBold"/>
              </w:rPr>
              <w:t>assessing this competency standard for consistent performance</w:t>
            </w:r>
            <w:r w:rsidRPr="00E7708C">
              <w:t xml:space="preserve"> and </w:t>
            </w:r>
            <w:r w:rsidRPr="00E7708C">
              <w:rPr>
                <w:rStyle w:val="SpecialBold"/>
              </w:rPr>
              <w:t>where and how it may be assessed</w:t>
            </w:r>
            <w:r w:rsidRPr="00E7708C">
              <w:t xml:space="preserve">, in the Assessment Guidelines for this Training Package.  All users of these competency standards must have </w:t>
            </w:r>
            <w:r w:rsidRPr="00E7708C">
              <w:rPr>
                <w:rStyle w:val="SpecialBold"/>
              </w:rPr>
              <w:t>access</w:t>
            </w:r>
            <w:r w:rsidRPr="00E7708C">
              <w:t xml:space="preserve"> to the </w:t>
            </w:r>
            <w:r w:rsidRPr="00E7708C">
              <w:rPr>
                <w:rStyle w:val="SpecialBold"/>
              </w:rPr>
              <w:t>Assessment Guidelines</w:t>
            </w:r>
            <w:r w:rsidRPr="00E7708C">
              <w:t xml:space="preserve">.  Further advice may also be sought from the relevant </w:t>
            </w:r>
            <w:r w:rsidRPr="00E7708C">
              <w:rPr>
                <w:rStyle w:val="SpecialBold"/>
              </w:rPr>
              <w:t>sector booklet</w:t>
            </w:r>
            <w:r w:rsidRPr="00E7708C">
              <w:t xml:space="preserve">. </w:t>
            </w:r>
          </w:p>
        </w:tc>
      </w:tr>
    </w:tbl>
    <w:p w:rsidR="00000000" w:rsidRPr="00E7708C" w:rsidP="00E7708C">
      <w:pPr>
        <w:pStyle w:val="BodyText"/>
      </w:pPr>
    </w:p>
    <w:p w:rsidR="00000000" w:rsidRPr="00E7708C" w:rsidP="00E7708C">
      <w:pPr>
        <w:pStyle w:val="AllowPageBreak"/>
      </w:pPr>
    </w:p>
    <w:p w:rsidR="00000000" w:rsidRPr="00E7708C" w:rsidP="00E7708C">
      <w:pPr>
        <w:pStyle w:val="Heading1"/>
      </w:pPr>
      <w:bookmarkStart w:id="11" w:name="O_319037"/>
      <w:bookmarkEnd w:id="11"/>
      <w:r w:rsidRPr="00E7708C">
        <w:t>Range Statement</w:t>
      </w:r>
    </w:p>
    <w:tbl>
      <w:tblPr>
        <w:tblW w:w="0" w:type="auto"/>
        <w:tblLayout w:type="fixed"/>
        <w:tblCellMar>
          <w:left w:w="62" w:type="dxa"/>
          <w:right w:w="62" w:type="dxa"/>
        </w:tblCellMar>
        <w:tblLook w:val="0000"/>
      </w:tblPr>
      <w:tblGrid>
        <w:gridCol w:w="4500"/>
        <w:gridCol w:w="4500"/>
      </w:tblGrid>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708C" w:rsidP="00E7708C">
            <w:pPr>
              <w:pStyle w:val="BodyText"/>
            </w:pPr>
            <w:r w:rsidRPr="00E7708C">
              <w:rPr>
                <w:rStyle w:val="SpecialBold"/>
              </w:rPr>
              <w:t>Rang</w:t>
            </w:r>
            <w:r w:rsidRPr="00E7708C">
              <w:rPr>
                <w:rStyle w:val="SpecialBold"/>
              </w:rPr>
              <w:t>e of Variables</w:t>
            </w:r>
          </w:p>
          <w:p w:rsidR="00000000" w:rsidP="00E7708C">
            <w:pPr>
              <w:pStyle w:val="BodyText"/>
              <w:rPr>
                <w:lang w:val="en-NZ"/>
              </w:rPr>
            </w:pPr>
            <w:r w:rsidRPr="00E7708C">
              <w:t>The Range of Variables explains the contexts within which the performance and knowledge requirements of this standard may be assessed.  The scope of variables chosen in training and assessment requirements may depend on the work situations a</w:t>
            </w:r>
            <w:r w:rsidRPr="00E7708C">
              <w:t>vailable</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What </w:t>
            </w:r>
            <w:r w:rsidRPr="00E7708C">
              <w:rPr>
                <w:rStyle w:val="SpecialBold"/>
              </w:rPr>
              <w:t>machinery and equipment</w:t>
            </w:r>
            <w:r w:rsidRPr="00E7708C">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Tanker, hand tools, hose, small gear pump, and knapsack.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What </w:t>
            </w:r>
            <w:r w:rsidRPr="00E7708C">
              <w:rPr>
                <w:rStyle w:val="SpecialBold"/>
              </w:rPr>
              <w:t>assets</w:t>
            </w:r>
            <w:r w:rsidRPr="00E7708C">
              <w:t xml:space="preserve"> may need to be protected with prescribed burning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Buildings, utilities (power and telephone lines, </w:t>
            </w:r>
            <w:r w:rsidRPr="00E7708C">
              <w:t xml:space="preserve">water supply structures, communications towers), public lands, area of rare or sensitive flora and fauna, other crops, tree plantations and other property.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What </w:t>
            </w:r>
            <w:r w:rsidRPr="00E7708C">
              <w:rPr>
                <w:rStyle w:val="SpecialBold"/>
              </w:rPr>
              <w:t>conditions</w:t>
            </w:r>
            <w:r w:rsidRPr="00E7708C">
              <w:t xml:space="preserve"> at the fire should be considered?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Wind speed and direction, flame height, rate of spread and smoke development.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What </w:t>
            </w:r>
            <w:r w:rsidRPr="00E7708C">
              <w:rPr>
                <w:rStyle w:val="SpecialBold"/>
              </w:rPr>
              <w:t>weather conditions</w:t>
            </w:r>
            <w:r w:rsidRPr="00E7708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Temperature, relative humidity, wind, and atmospheric stability. </w:t>
            </w:r>
          </w:p>
        </w:tc>
      </w:tr>
      <w:tr w:rsidTr="00FE36A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What </w:t>
            </w:r>
            <w:r w:rsidRPr="00E7708C">
              <w:rPr>
                <w:rStyle w:val="SpecialBold"/>
              </w:rPr>
              <w:t>personal protective equipment</w:t>
            </w:r>
            <w:r w:rsidRPr="00E7708C">
              <w:t xml:space="preserve"> may be relevant</w:t>
            </w:r>
            <w:r w:rsidRPr="00E7708C">
              <w:t xml:space="preserve"> to this standard? </w:t>
            </w:r>
          </w:p>
        </w:tc>
        <w:tc>
          <w:tcPr>
            <w:tcW w:w="4500" w:type="dxa"/>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Overalls, gloves, eye protection, hearing protection, respiratory protection, safety boots, and accessories in accordance with the organisation's procedures </w:t>
            </w: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708C">
            <w:pPr>
              <w:pStyle w:val="BodyText"/>
              <w:rPr>
                <w:lang w:val="en-NZ"/>
              </w:rPr>
            </w:pPr>
            <w:r w:rsidRPr="00E7708C">
              <w:t xml:space="preserve">For more information on contexts, environment and variables for training and </w:t>
            </w:r>
            <w:r w:rsidRPr="00E7708C">
              <w:t xml:space="preserve">assessment refer to the Sector Booklet. </w:t>
            </w:r>
          </w:p>
        </w:tc>
      </w:tr>
      <w:tr w:rsidTr="00FE36A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708C" w:rsidP="00E7708C">
            <w:pPr>
              <w:pStyle w:val="BodyText"/>
            </w:pPr>
          </w:p>
        </w:tc>
      </w:tr>
    </w:tbl>
    <w:p w:rsidR="00000000" w:rsidRPr="00E7708C" w:rsidP="00E7708C">
      <w:pPr>
        <w:pStyle w:val="BodyText"/>
      </w:pPr>
    </w:p>
    <w:p w:rsidR="00000000" w:rsidRPr="00E7708C" w:rsidP="00E7708C">
      <w:pPr>
        <w:pStyle w:val="AllowPageBreak"/>
      </w:pPr>
    </w:p>
    <w:p w:rsidR="00000000" w:rsidRPr="00E7708C" w:rsidP="00E7708C">
      <w:pPr>
        <w:pStyle w:val="Heading1"/>
      </w:pPr>
      <w:bookmarkStart w:id="12" w:name="O_319041"/>
      <w:bookmarkEnd w:id="12"/>
      <w:r w:rsidRPr="00E7708C">
        <w:t>Unit Sector(s)</w:t>
      </w:r>
    </w:p>
    <w:p w:rsidR="00000000" w:rsidRPr="00E7708C" w:rsidP="00E7708C">
      <w:pPr>
        <w:pStyle w:val="BodyText"/>
      </w:pPr>
      <w:r w:rsidRPr="00E7708C">
        <w:t>Not applicable.</w:t>
      </w:r>
    </w:p>
    <w:p w:rsidR="00000000" w:rsidRPr="00E7708C" w:rsidP="00E7708C"/>
    <w:sectPr w:rsidSect="00E770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6A9" w:rsidP="00FE3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A9" w:rsidP="00E77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36A9" w:rsidP="00E770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36A9" w:rsidP="00E770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C" w:rsidRPr="00FE36A9" w:rsidP="00FE36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A9" w:rsidP="00E7708C">
    <w:pPr>
      <w:pStyle w:val="Header"/>
      <w:framePr w:wrap="around"/>
    </w:pPr>
    <w:r>
      <w:fldChar w:fldCharType="begin"/>
    </w:r>
    <w:r>
      <w:instrText xml:space="preserve"> TITLE   \* MERGEFORMAT </w:instrText>
    </w:r>
    <w:r>
      <w:fldChar w:fldCharType="separate"/>
    </w:r>
    <w:r>
      <w:t>RTE2002A Assist with prescribed burning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6A9" w:rsidP="00E770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0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08C"/>
    <w:pPr>
      <w:spacing w:before="360" w:after="60"/>
      <w:outlineLvl w:val="0"/>
    </w:pPr>
    <w:rPr>
      <w:sz w:val="32"/>
    </w:rPr>
  </w:style>
  <w:style w:type="paragraph" w:styleId="Heading2">
    <w:name w:val="heading 2"/>
    <w:basedOn w:val="HeadingBase"/>
    <w:next w:val="BodyText"/>
    <w:link w:val="Heading2Char"/>
    <w:qFormat/>
    <w:rsid w:val="00E7708C"/>
    <w:pPr>
      <w:keepLines/>
      <w:spacing w:before="240" w:after="120"/>
      <w:outlineLvl w:val="1"/>
    </w:pPr>
    <w:rPr>
      <w:sz w:val="28"/>
      <w:szCs w:val="40"/>
    </w:rPr>
  </w:style>
  <w:style w:type="paragraph" w:styleId="Heading3">
    <w:name w:val="heading 3"/>
    <w:basedOn w:val="HeadingBase"/>
    <w:next w:val="BodyText"/>
    <w:link w:val="Heading3Char"/>
    <w:qFormat/>
    <w:rsid w:val="00E7708C"/>
    <w:pPr>
      <w:spacing w:before="180" w:after="120"/>
      <w:outlineLvl w:val="2"/>
    </w:pPr>
    <w:rPr>
      <w:spacing w:val="-10"/>
      <w:kern w:val="32"/>
    </w:rPr>
  </w:style>
  <w:style w:type="paragraph" w:styleId="Heading4">
    <w:name w:val="heading 4"/>
    <w:basedOn w:val="HeadingBase"/>
    <w:next w:val="BodyText"/>
    <w:link w:val="Heading4Char"/>
    <w:qFormat/>
    <w:rsid w:val="00E7708C"/>
    <w:pPr>
      <w:spacing w:before="160" w:after="120"/>
      <w:outlineLvl w:val="3"/>
    </w:pPr>
    <w:rPr>
      <w:sz w:val="22"/>
    </w:rPr>
  </w:style>
  <w:style w:type="paragraph" w:styleId="Heading5">
    <w:name w:val="heading 5"/>
    <w:basedOn w:val="HeadingBase"/>
    <w:next w:val="Normal"/>
    <w:link w:val="Heading5Char"/>
    <w:qFormat/>
    <w:rsid w:val="00E7708C"/>
    <w:pPr>
      <w:spacing w:before="80"/>
      <w:outlineLvl w:val="4"/>
    </w:pPr>
    <w:rPr>
      <w:color w:val="918585"/>
      <w:sz w:val="20"/>
    </w:rPr>
  </w:style>
  <w:style w:type="paragraph" w:styleId="Heading6">
    <w:name w:val="heading 6"/>
    <w:basedOn w:val="HeadingBase"/>
    <w:next w:val="Normal"/>
    <w:link w:val="Heading6Char"/>
    <w:qFormat/>
    <w:rsid w:val="00E7708C"/>
    <w:pPr>
      <w:spacing w:before="60"/>
      <w:outlineLvl w:val="5"/>
    </w:pPr>
    <w:rPr>
      <w:color w:val="918585"/>
      <w:sz w:val="20"/>
    </w:rPr>
  </w:style>
  <w:style w:type="paragraph" w:styleId="Heading7">
    <w:name w:val="heading 7"/>
    <w:basedOn w:val="Normal"/>
    <w:next w:val="Normal"/>
    <w:link w:val="Heading7Char"/>
    <w:qFormat/>
    <w:rsid w:val="00E7708C"/>
    <w:pPr>
      <w:ind w:left="720"/>
      <w:outlineLvl w:val="6"/>
    </w:pPr>
    <w:rPr>
      <w:i/>
    </w:rPr>
  </w:style>
  <w:style w:type="paragraph" w:styleId="Heading8">
    <w:name w:val="heading 8"/>
    <w:basedOn w:val="Normal"/>
    <w:next w:val="Normal"/>
    <w:link w:val="Heading8Char"/>
    <w:qFormat/>
    <w:rsid w:val="00E7708C"/>
    <w:pPr>
      <w:ind w:left="720"/>
      <w:outlineLvl w:val="7"/>
    </w:pPr>
    <w:rPr>
      <w:i/>
    </w:rPr>
  </w:style>
  <w:style w:type="paragraph" w:styleId="Heading9">
    <w:name w:val="heading 9"/>
    <w:basedOn w:val="Normal"/>
    <w:next w:val="Normal"/>
    <w:link w:val="Heading9Char"/>
    <w:qFormat/>
    <w:rsid w:val="00E7708C"/>
    <w:pPr>
      <w:ind w:left="720"/>
      <w:outlineLvl w:val="8"/>
    </w:pPr>
    <w:rPr>
      <w:i/>
    </w:rPr>
  </w:style>
  <w:style w:type="character" w:default="1" w:styleId="DefaultParagraphFont">
    <w:name w:val="Default Paragraph Font"/>
    <w:uiPriority w:val="1"/>
    <w:unhideWhenUsed/>
    <w:rsid w:val="00E77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08C"/>
  </w:style>
  <w:style w:type="character" w:customStyle="1" w:styleId="Heading1Char">
    <w:name w:val="Heading 1 Char"/>
    <w:link w:val="Heading1"/>
    <w:rsid w:val="00E7708C"/>
    <w:rPr>
      <w:rFonts w:ascii="Times New Roman" w:eastAsia="Times New Roman" w:hAnsi="Times New Roman" w:cs="Times New Roman"/>
      <w:b/>
      <w:sz w:val="32"/>
      <w:szCs w:val="20"/>
      <w:lang w:eastAsia="en-US"/>
    </w:rPr>
  </w:style>
  <w:style w:type="paragraph" w:styleId="BodyText">
    <w:name w:val="Body Text"/>
    <w:basedOn w:val="Normal"/>
    <w:link w:val="BodyTextChar"/>
    <w:rsid w:val="00E7708C"/>
    <w:pPr>
      <w:spacing w:before="120" w:after="120"/>
      <w:contextualSpacing/>
    </w:pPr>
    <w:rPr>
      <w:rFonts w:ascii="Times New Roman" w:hAnsi="Times New Roman"/>
      <w:sz w:val="24"/>
      <w:szCs w:val="22"/>
    </w:rPr>
  </w:style>
  <w:style w:type="character" w:customStyle="1" w:styleId="BodyTextChar">
    <w:name w:val="Body Text Char"/>
    <w:link w:val="BodyText"/>
    <w:rsid w:val="00E7708C"/>
    <w:rPr>
      <w:rFonts w:ascii="Times New Roman" w:eastAsia="Times New Roman" w:hAnsi="Times New Roman" w:cs="Times New Roman"/>
      <w:sz w:val="24"/>
      <w:lang w:val="en-US" w:eastAsia="en-US"/>
    </w:rPr>
  </w:style>
  <w:style w:type="paragraph" w:styleId="Footer">
    <w:name w:val="footer"/>
    <w:basedOn w:val="Normal"/>
    <w:link w:val="FooterChar"/>
    <w:rsid w:val="00E77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708C"/>
    <w:rPr>
      <w:rFonts w:ascii="Times New Roman" w:eastAsia="Times New Roman" w:hAnsi="Times New Roman" w:cs="Times New Roman"/>
      <w:sz w:val="16"/>
      <w:lang w:val="en-US" w:eastAsia="en-US"/>
    </w:rPr>
  </w:style>
  <w:style w:type="character" w:customStyle="1" w:styleId="SpecialBold">
    <w:name w:val="Special Bold"/>
    <w:rsid w:val="00E7708C"/>
    <w:rPr>
      <w:b/>
      <w:spacing w:val="0"/>
    </w:rPr>
  </w:style>
  <w:style w:type="paragraph" w:customStyle="1" w:styleId="SuperHeading">
    <w:name w:val="SuperHeading"/>
    <w:basedOn w:val="Normal"/>
    <w:rsid w:val="00E7708C"/>
    <w:pPr>
      <w:spacing w:before="240" w:after="120"/>
      <w:outlineLvl w:val="0"/>
    </w:pPr>
    <w:rPr>
      <w:rFonts w:ascii="Times New Roman" w:hAnsi="Times New Roman"/>
      <w:b/>
      <w:sz w:val="28"/>
    </w:rPr>
  </w:style>
  <w:style w:type="paragraph" w:customStyle="1" w:styleId="AllowPageBreak">
    <w:name w:val="AllowPageBreak"/>
    <w:rsid w:val="00E770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7708C"/>
    <w:rPr>
      <w:rFonts w:ascii="Times New Roman" w:eastAsia="Times New Roman" w:hAnsi="Times New Roman" w:cs="Times New Roman"/>
      <w:b/>
      <w:sz w:val="28"/>
      <w:szCs w:val="40"/>
      <w:lang w:eastAsia="en-US"/>
    </w:rPr>
  </w:style>
  <w:style w:type="character" w:customStyle="1" w:styleId="Heading3Char">
    <w:name w:val="Heading 3 Char"/>
    <w:link w:val="Heading3"/>
    <w:rsid w:val="00E770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708C"/>
    <w:rPr>
      <w:rFonts w:ascii="Times New Roman" w:eastAsia="Times New Roman" w:hAnsi="Times New Roman" w:cs="Times New Roman"/>
      <w:b/>
      <w:szCs w:val="20"/>
      <w:lang w:eastAsia="en-US"/>
    </w:rPr>
  </w:style>
  <w:style w:type="character" w:customStyle="1" w:styleId="Heading5Char">
    <w:name w:val="Heading 5 Char"/>
    <w:link w:val="Heading5"/>
    <w:rsid w:val="00E770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7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0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0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08C"/>
    <w:rPr>
      <w:rFonts w:ascii="Courier New" w:eastAsia="Times New Roman" w:hAnsi="Courier New" w:cs="Times New Roman"/>
      <w:i/>
      <w:szCs w:val="20"/>
      <w:lang w:val="en-US" w:eastAsia="en-US"/>
    </w:rPr>
  </w:style>
  <w:style w:type="paragraph" w:customStyle="1" w:styleId="HeadingBase">
    <w:name w:val="Heading Base"/>
    <w:rsid w:val="00E77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08C"/>
    <w:pPr>
      <w:tabs>
        <w:tab w:val="right" w:leader="dot" w:pos="9072"/>
      </w:tabs>
      <w:ind w:left="567"/>
    </w:pPr>
    <w:rPr>
      <w:szCs w:val="22"/>
    </w:rPr>
  </w:style>
  <w:style w:type="paragraph" w:customStyle="1" w:styleId="TOCBase">
    <w:name w:val="TOC Base"/>
    <w:rsid w:val="00E77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08C"/>
    <w:pPr>
      <w:tabs>
        <w:tab w:val="right" w:leader="dot" w:pos="9072"/>
      </w:tabs>
      <w:spacing w:before="40" w:after="40"/>
      <w:ind w:left="284"/>
    </w:pPr>
    <w:rPr>
      <w:rFonts w:ascii="Times New Roman" w:hAnsi="Times New Roman"/>
    </w:rPr>
  </w:style>
  <w:style w:type="paragraph" w:styleId="TOC1">
    <w:name w:val="toc 1"/>
    <w:basedOn w:val="TOCBase"/>
    <w:next w:val="Normal"/>
    <w:rsid w:val="00E770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08C"/>
    <w:pPr>
      <w:spacing w:before="5040"/>
      <w:jc w:val="center"/>
    </w:pPr>
    <w:rPr>
      <w:sz w:val="48"/>
      <w:szCs w:val="72"/>
      <w:lang w:val="en-US"/>
    </w:rPr>
  </w:style>
  <w:style w:type="character" w:customStyle="1" w:styleId="TitleChar">
    <w:name w:val="Title Char"/>
    <w:link w:val="Title"/>
    <w:rsid w:val="00E77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08C"/>
    <w:pPr>
      <w:tabs>
        <w:tab w:val="left" w:pos="3600"/>
        <w:tab w:val="left" w:pos="3958"/>
      </w:tabs>
    </w:pPr>
  </w:style>
  <w:style w:type="paragraph" w:styleId="List">
    <w:name w:val="List"/>
    <w:basedOn w:val="BodyText"/>
    <w:next w:val="BodyText"/>
    <w:rsid w:val="00E7708C"/>
    <w:pPr>
      <w:tabs>
        <w:tab w:val="left" w:pos="340"/>
      </w:tabs>
      <w:spacing w:before="60" w:after="60"/>
      <w:ind w:left="340" w:hanging="340"/>
    </w:pPr>
  </w:style>
  <w:style w:type="paragraph" w:styleId="ListBullet">
    <w:name w:val="List Bullet"/>
    <w:basedOn w:val="List"/>
    <w:rsid w:val="00E7708C"/>
    <w:pPr>
      <w:numPr>
        <w:numId w:val="11"/>
      </w:numPr>
      <w:tabs>
        <w:tab w:val="clear" w:pos="340"/>
      </w:tabs>
      <w:spacing w:before="40" w:after="40"/>
    </w:pPr>
  </w:style>
  <w:style w:type="paragraph" w:customStyle="1" w:styleId="Note">
    <w:name w:val="Note"/>
    <w:basedOn w:val="BodyText"/>
    <w:rsid w:val="00E77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08C"/>
    <w:pPr>
      <w:framePr w:wrap="auto" w:hAnchor="text" w:y="6049"/>
    </w:pPr>
    <w:rPr>
      <w:color w:val="000000"/>
      <w:sz w:val="40"/>
    </w:rPr>
  </w:style>
  <w:style w:type="paragraph" w:customStyle="1" w:styleId="TOCTitle">
    <w:name w:val="TOCTitle"/>
    <w:basedOn w:val="Heading1"/>
    <w:rsid w:val="00E7708C"/>
    <w:pPr>
      <w:spacing w:after="240"/>
      <w:jc w:val="center"/>
      <w:outlineLvl w:val="9"/>
    </w:pPr>
    <w:rPr>
      <w:caps/>
    </w:rPr>
  </w:style>
  <w:style w:type="paragraph" w:customStyle="1" w:styleId="Version">
    <w:name w:val="Version"/>
    <w:rsid w:val="00E770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08C"/>
    <w:pPr>
      <w:numPr>
        <w:numId w:val="12"/>
      </w:numPr>
      <w:tabs>
        <w:tab w:val="clear" w:pos="680"/>
      </w:tabs>
    </w:pPr>
  </w:style>
  <w:style w:type="paragraph" w:styleId="Index1">
    <w:name w:val="index 1"/>
    <w:basedOn w:val="Normal"/>
    <w:next w:val="Normal"/>
    <w:semiHidden/>
    <w:rsid w:val="00E7708C"/>
    <w:pPr>
      <w:keepNext w:val="0"/>
      <w:tabs>
        <w:tab w:val="right" w:pos="4176"/>
      </w:tabs>
      <w:ind w:left="198" w:hanging="198"/>
    </w:pPr>
    <w:rPr>
      <w:rFonts w:ascii="Garamond" w:hAnsi="Garamond"/>
    </w:rPr>
  </w:style>
  <w:style w:type="paragraph" w:styleId="IndexHeading">
    <w:name w:val="index heading"/>
    <w:basedOn w:val="Normal"/>
    <w:next w:val="Index1"/>
    <w:semiHidden/>
    <w:rsid w:val="00E7708C"/>
    <w:pPr>
      <w:spacing w:before="120" w:after="120"/>
    </w:pPr>
    <w:rPr>
      <w:rFonts w:ascii="Arial" w:hAnsi="Arial"/>
      <w:b/>
      <w:color w:val="918585"/>
      <w:sz w:val="24"/>
    </w:rPr>
  </w:style>
  <w:style w:type="paragraph" w:styleId="Header">
    <w:name w:val="header"/>
    <w:basedOn w:val="Normal"/>
    <w:link w:val="HeaderChar"/>
    <w:rsid w:val="00E77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708C"/>
    <w:rPr>
      <w:rFonts w:ascii="Times New Roman" w:eastAsia="Times New Roman" w:hAnsi="Times New Roman" w:cs="Times New Roman"/>
      <w:sz w:val="16"/>
      <w:szCs w:val="20"/>
      <w:lang w:val="en-GB" w:eastAsia="en-US"/>
    </w:rPr>
  </w:style>
  <w:style w:type="paragraph" w:customStyle="1" w:styleId="Chapter">
    <w:name w:val="Chapter"/>
    <w:basedOn w:val="Normal"/>
    <w:rsid w:val="00E7708C"/>
    <w:pPr>
      <w:spacing w:before="240"/>
    </w:pPr>
    <w:rPr>
      <w:rFonts w:ascii="Times New Roman" w:hAnsi="Times New Roman"/>
      <w:smallCaps/>
      <w:spacing w:val="80"/>
      <w:sz w:val="28"/>
    </w:rPr>
  </w:style>
  <w:style w:type="paragraph" w:customStyle="1" w:styleId="InChapter">
    <w:name w:val="InChapter"/>
    <w:basedOn w:val="Heading3"/>
    <w:rsid w:val="00E7708C"/>
    <w:pPr>
      <w:spacing w:after="240"/>
      <w:outlineLvl w:val="9"/>
    </w:pPr>
    <w:rPr>
      <w:noProof/>
    </w:rPr>
  </w:style>
  <w:style w:type="paragraph" w:styleId="Index2">
    <w:name w:val="index 2"/>
    <w:basedOn w:val="Normal"/>
    <w:next w:val="Normal"/>
    <w:semiHidden/>
    <w:rsid w:val="00E7708C"/>
    <w:pPr>
      <w:tabs>
        <w:tab w:val="right" w:pos="4176"/>
      </w:tabs>
      <w:ind w:left="568" w:hanging="284"/>
    </w:pPr>
    <w:rPr>
      <w:rFonts w:ascii="Garamond" w:hAnsi="Garamond"/>
    </w:rPr>
  </w:style>
  <w:style w:type="paragraph" w:customStyle="1" w:styleId="Byline">
    <w:name w:val="Byline"/>
    <w:rsid w:val="00E77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08C"/>
    <w:pPr>
      <w:tabs>
        <w:tab w:val="clear" w:pos="3600"/>
        <w:tab w:val="clear" w:pos="3958"/>
      </w:tabs>
      <w:jc w:val="right"/>
    </w:pPr>
  </w:style>
  <w:style w:type="character" w:styleId="Emphasis">
    <w:name w:val="Emphasis"/>
    <w:qFormat/>
    <w:rsid w:val="00E7708C"/>
    <w:rPr>
      <w:i/>
    </w:rPr>
  </w:style>
  <w:style w:type="paragraph" w:styleId="Caption">
    <w:name w:val="caption"/>
    <w:basedOn w:val="BodyText"/>
    <w:next w:val="Normal"/>
    <w:qFormat/>
    <w:rsid w:val="00E7708C"/>
    <w:pPr>
      <w:framePr w:w="2268" w:hSpace="181" w:vSpace="181" w:wrap="around" w:vAnchor="text" w:hAnchor="page" w:x="1135" w:y="285" w:anchorLock="1"/>
    </w:pPr>
    <w:rPr>
      <w:i/>
    </w:rPr>
  </w:style>
  <w:style w:type="paragraph" w:customStyle="1" w:styleId="MiniTOCTitle">
    <w:name w:val="MiniTOCTitle"/>
    <w:basedOn w:val="Heading4"/>
    <w:rsid w:val="00E7708C"/>
    <w:pPr>
      <w:spacing w:before="240"/>
      <w:outlineLvl w:val="9"/>
    </w:pPr>
    <w:rPr>
      <w:noProof/>
      <w:sz w:val="24"/>
    </w:rPr>
  </w:style>
  <w:style w:type="paragraph" w:customStyle="1" w:styleId="MiniTOCItem">
    <w:name w:val="MiniTOCItem"/>
    <w:basedOn w:val="ListBullet"/>
    <w:rsid w:val="00E7708C"/>
    <w:pPr>
      <w:numPr>
        <w:numId w:val="0"/>
      </w:numPr>
      <w:tabs>
        <w:tab w:val="right" w:leader="dot" w:pos="6521"/>
      </w:tabs>
      <w:spacing w:before="0" w:after="0"/>
    </w:pPr>
  </w:style>
  <w:style w:type="paragraph" w:customStyle="1" w:styleId="TOFTitle">
    <w:name w:val="TOFTitle"/>
    <w:basedOn w:val="TOCTitle"/>
    <w:rsid w:val="00E7708C"/>
  </w:style>
  <w:style w:type="paragraph" w:styleId="TableofFigures">
    <w:name w:val="table of figures"/>
    <w:basedOn w:val="Normal"/>
    <w:next w:val="Normal"/>
    <w:semiHidden/>
    <w:rsid w:val="00E7708C"/>
    <w:pPr>
      <w:tabs>
        <w:tab w:val="right" w:leader="dot" w:pos="9072"/>
      </w:tabs>
      <w:ind w:left="970" w:hanging="403"/>
    </w:pPr>
    <w:rPr>
      <w:rFonts w:ascii="Times New Roman" w:hAnsi="Times New Roman"/>
      <w:b/>
    </w:rPr>
  </w:style>
  <w:style w:type="paragraph" w:styleId="ListNumber">
    <w:name w:val="List Number"/>
    <w:basedOn w:val="List"/>
    <w:rsid w:val="00E7708C"/>
    <w:pPr>
      <w:numPr>
        <w:numId w:val="9"/>
      </w:numPr>
    </w:pPr>
  </w:style>
  <w:style w:type="character" w:customStyle="1" w:styleId="WingdingSymbols">
    <w:name w:val="Wingding Symbols"/>
    <w:rsid w:val="00E7708C"/>
    <w:rPr>
      <w:rFonts w:ascii="Wingdings" w:hAnsi="Wingdings"/>
    </w:rPr>
  </w:style>
  <w:style w:type="paragraph" w:customStyle="1" w:styleId="TableHeading">
    <w:name w:val="Table Heading"/>
    <w:basedOn w:val="HeadingBase"/>
    <w:rsid w:val="00E7708C"/>
    <w:pPr>
      <w:keepLines/>
      <w:pBdr>
        <w:bottom w:val="single" w:sz="6" w:space="1" w:color="918585"/>
      </w:pBdr>
      <w:spacing w:before="240"/>
    </w:pPr>
  </w:style>
  <w:style w:type="character" w:customStyle="1" w:styleId="HotSpot">
    <w:name w:val="HotSpot"/>
    <w:rsid w:val="00E7708C"/>
    <w:rPr>
      <w:color w:val="0033CC"/>
      <w:u w:val="none"/>
    </w:rPr>
  </w:style>
  <w:style w:type="paragraph" w:customStyle="1" w:styleId="BodyTextRight">
    <w:name w:val="Body Text Right"/>
    <w:basedOn w:val="BodyText"/>
    <w:rsid w:val="00E7708C"/>
    <w:pPr>
      <w:spacing w:before="0" w:after="0"/>
      <w:jc w:val="right"/>
    </w:pPr>
  </w:style>
  <w:style w:type="paragraph" w:styleId="Index3">
    <w:name w:val="index 3"/>
    <w:basedOn w:val="ListNumber2"/>
    <w:next w:val="Normal"/>
    <w:semiHidden/>
    <w:rsid w:val="00E7708C"/>
    <w:pPr>
      <w:numPr>
        <w:numId w:val="0"/>
      </w:numPr>
      <w:tabs>
        <w:tab w:val="right" w:leader="dot" w:pos="4176"/>
      </w:tabs>
    </w:pPr>
  </w:style>
  <w:style w:type="paragraph" w:styleId="ListNumber2">
    <w:name w:val="List Number 2"/>
    <w:basedOn w:val="List2"/>
    <w:rsid w:val="00E7708C"/>
    <w:pPr>
      <w:numPr>
        <w:numId w:val="8"/>
      </w:numPr>
      <w:tabs>
        <w:tab w:val="clear" w:pos="1060"/>
      </w:tabs>
    </w:pPr>
  </w:style>
  <w:style w:type="paragraph" w:customStyle="1" w:styleId="MarginNote">
    <w:name w:val="Margin Note"/>
    <w:basedOn w:val="BodyText"/>
    <w:rsid w:val="00E77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70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08C"/>
    <w:rPr>
      <w:sz w:val="32"/>
    </w:rPr>
  </w:style>
  <w:style w:type="paragraph" w:customStyle="1" w:styleId="HeadingProcedure">
    <w:name w:val="Heading Procedure"/>
    <w:basedOn w:val="HeadingBase"/>
    <w:next w:val="Normal"/>
    <w:rsid w:val="00E7708C"/>
    <w:pPr>
      <w:tabs>
        <w:tab w:val="left" w:pos="0"/>
      </w:tabs>
      <w:spacing w:before="120" w:after="60"/>
    </w:pPr>
    <w:rPr>
      <w:i/>
      <w:color w:val="918585"/>
      <w:sz w:val="22"/>
    </w:rPr>
  </w:style>
  <w:style w:type="paragraph" w:customStyle="1" w:styleId="TableBodyText">
    <w:name w:val="Table Body Text"/>
    <w:basedOn w:val="BodyText"/>
    <w:rsid w:val="00E7708C"/>
    <w:pPr>
      <w:spacing w:before="60" w:after="60"/>
    </w:pPr>
  </w:style>
  <w:style w:type="paragraph" w:styleId="ListContinue">
    <w:name w:val="List Continue"/>
    <w:basedOn w:val="List"/>
    <w:rsid w:val="00E7708C"/>
    <w:pPr>
      <w:ind w:firstLine="0"/>
    </w:pPr>
  </w:style>
  <w:style w:type="paragraph" w:customStyle="1" w:styleId="ListNote">
    <w:name w:val="List Note"/>
    <w:basedOn w:val="List"/>
    <w:rsid w:val="00E7708C"/>
    <w:pPr>
      <w:pBdr>
        <w:top w:val="single" w:sz="6" w:space="2" w:color="918585"/>
        <w:bottom w:val="single" w:sz="6" w:space="2" w:color="918585"/>
      </w:pBdr>
      <w:tabs>
        <w:tab w:val="left" w:pos="1021"/>
      </w:tabs>
      <w:ind w:firstLine="0"/>
    </w:pPr>
  </w:style>
  <w:style w:type="paragraph" w:customStyle="1" w:styleId="Warning">
    <w:name w:val="Warning"/>
    <w:basedOn w:val="BodyText"/>
    <w:rsid w:val="00E7708C"/>
    <w:pPr>
      <w:shd w:val="clear" w:color="auto" w:fill="D9D9D9"/>
      <w:tabs>
        <w:tab w:val="left" w:pos="992"/>
      </w:tabs>
      <w:ind w:left="119" w:right="119"/>
    </w:pPr>
    <w:rPr>
      <w:sz w:val="20"/>
    </w:rPr>
  </w:style>
  <w:style w:type="paragraph" w:customStyle="1" w:styleId="MarginIcons">
    <w:name w:val="Margin Icons"/>
    <w:basedOn w:val="BodyText"/>
    <w:rsid w:val="00E770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708C"/>
    <w:rPr>
      <w:rFonts w:ascii="Courier New" w:hAnsi="Courier New"/>
    </w:rPr>
  </w:style>
  <w:style w:type="paragraph" w:customStyle="1" w:styleId="NoteBullet">
    <w:name w:val="Note Bullet"/>
    <w:basedOn w:val="Note"/>
    <w:rsid w:val="00E7708C"/>
    <w:pPr>
      <w:tabs>
        <w:tab w:val="clear" w:pos="680"/>
      </w:tabs>
      <w:spacing w:before="60" w:after="60"/>
    </w:pPr>
  </w:style>
  <w:style w:type="paragraph" w:customStyle="1" w:styleId="SubHeading2">
    <w:name w:val="SubHeading2"/>
    <w:basedOn w:val="HeadingBase"/>
    <w:rsid w:val="00E7708C"/>
    <w:pPr>
      <w:spacing w:before="240" w:after="60"/>
    </w:pPr>
    <w:rPr>
      <w:sz w:val="20"/>
    </w:rPr>
  </w:style>
  <w:style w:type="paragraph" w:customStyle="1" w:styleId="SubHeading1">
    <w:name w:val="SubHeading1"/>
    <w:basedOn w:val="HeadingBase"/>
    <w:rsid w:val="00E7708C"/>
    <w:pPr>
      <w:spacing w:before="240" w:after="60"/>
    </w:pPr>
    <w:rPr>
      <w:color w:val="918585"/>
      <w:sz w:val="22"/>
    </w:rPr>
  </w:style>
  <w:style w:type="paragraph" w:customStyle="1" w:styleId="SideHeading">
    <w:name w:val="Side Heading"/>
    <w:basedOn w:val="HeadingBase"/>
    <w:rsid w:val="00E77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08C"/>
    <w:pPr>
      <w:numPr>
        <w:numId w:val="10"/>
      </w:numPr>
    </w:pPr>
  </w:style>
  <w:style w:type="paragraph" w:styleId="PlainText">
    <w:name w:val="Plain Text"/>
    <w:basedOn w:val="Normal"/>
    <w:link w:val="PlainTextChar"/>
    <w:rsid w:val="00E7708C"/>
    <w:rPr>
      <w:sz w:val="20"/>
    </w:rPr>
  </w:style>
  <w:style w:type="character" w:customStyle="1" w:styleId="PlainTextChar">
    <w:name w:val="Plain Text Char"/>
    <w:basedOn w:val="DefaultParagraphFont"/>
    <w:link w:val="PlainText"/>
    <w:rsid w:val="00E7708C"/>
    <w:rPr>
      <w:rFonts w:ascii="Courier New" w:eastAsia="Times New Roman" w:hAnsi="Courier New" w:cs="Times New Roman"/>
      <w:sz w:val="20"/>
      <w:szCs w:val="20"/>
      <w:lang w:val="en-US" w:eastAsia="en-US"/>
    </w:rPr>
  </w:style>
  <w:style w:type="character" w:customStyle="1" w:styleId="MenuOption">
    <w:name w:val="Menu Option"/>
    <w:rsid w:val="00E7708C"/>
    <w:rPr>
      <w:b/>
      <w:smallCaps/>
    </w:rPr>
  </w:style>
  <w:style w:type="paragraph" w:customStyle="1" w:styleId="TableListNumber">
    <w:name w:val="Table List Number"/>
    <w:basedOn w:val="ListNumber"/>
    <w:rsid w:val="00E7708C"/>
    <w:pPr>
      <w:numPr>
        <w:numId w:val="0"/>
      </w:numPr>
    </w:pPr>
  </w:style>
  <w:style w:type="paragraph" w:styleId="TOC4">
    <w:name w:val="toc 4"/>
    <w:basedOn w:val="TOCBase"/>
    <w:next w:val="Normal"/>
    <w:semiHidden/>
    <w:rsid w:val="00E7708C"/>
    <w:pPr>
      <w:tabs>
        <w:tab w:val="right" w:leader="dot" w:pos="9071"/>
      </w:tabs>
      <w:ind w:left="1701"/>
    </w:pPr>
  </w:style>
  <w:style w:type="paragraph" w:customStyle="1" w:styleId="ListAlpha">
    <w:name w:val="List Alpha"/>
    <w:basedOn w:val="List"/>
    <w:rsid w:val="00E7708C"/>
    <w:pPr>
      <w:numPr>
        <w:numId w:val="7"/>
      </w:numPr>
    </w:pPr>
  </w:style>
  <w:style w:type="paragraph" w:customStyle="1" w:styleId="ListAlpha2">
    <w:name w:val="List Alpha 2"/>
    <w:basedOn w:val="List2"/>
    <w:rsid w:val="00E7708C"/>
    <w:pPr>
      <w:numPr>
        <w:numId w:val="6"/>
      </w:numPr>
    </w:pPr>
  </w:style>
  <w:style w:type="paragraph" w:styleId="List2">
    <w:name w:val="List 2"/>
    <w:basedOn w:val="BodyText"/>
    <w:rsid w:val="00E7708C"/>
    <w:pPr>
      <w:tabs>
        <w:tab w:val="left" w:pos="680"/>
      </w:tabs>
      <w:spacing w:before="60" w:after="60"/>
      <w:ind w:left="680" w:hanging="340"/>
    </w:pPr>
  </w:style>
  <w:style w:type="paragraph" w:styleId="List3">
    <w:name w:val="List 3"/>
    <w:basedOn w:val="BodyText"/>
    <w:rsid w:val="00E7708C"/>
    <w:pPr>
      <w:tabs>
        <w:tab w:val="left" w:pos="1021"/>
      </w:tabs>
      <w:spacing w:before="60" w:after="60"/>
      <w:ind w:left="1020" w:hanging="340"/>
    </w:pPr>
  </w:style>
  <w:style w:type="paragraph" w:styleId="List4">
    <w:name w:val="List 4"/>
    <w:basedOn w:val="BodyText"/>
    <w:rsid w:val="00E7708C"/>
    <w:pPr>
      <w:tabs>
        <w:tab w:val="left" w:pos="1361"/>
      </w:tabs>
      <w:spacing w:before="60" w:after="60"/>
      <w:ind w:left="1361" w:hanging="340"/>
    </w:pPr>
  </w:style>
  <w:style w:type="paragraph" w:styleId="List5">
    <w:name w:val="List 5"/>
    <w:basedOn w:val="BodyText"/>
    <w:rsid w:val="00E7708C"/>
    <w:pPr>
      <w:tabs>
        <w:tab w:val="left" w:pos="1701"/>
      </w:tabs>
      <w:spacing w:before="60" w:after="60"/>
      <w:ind w:left="1701" w:hanging="340"/>
    </w:pPr>
  </w:style>
  <w:style w:type="paragraph" w:styleId="ListBullet3">
    <w:name w:val="List Bullet 3"/>
    <w:basedOn w:val="List3"/>
    <w:rsid w:val="00E7708C"/>
    <w:pPr>
      <w:numPr>
        <w:numId w:val="13"/>
      </w:numPr>
      <w:tabs>
        <w:tab w:val="clear" w:pos="1021"/>
      </w:tabs>
      <w:ind w:left="1037" w:hanging="357"/>
    </w:pPr>
  </w:style>
  <w:style w:type="paragraph" w:styleId="ListBullet4">
    <w:name w:val="List Bullet 4"/>
    <w:basedOn w:val="List4"/>
    <w:rsid w:val="00E7708C"/>
    <w:pPr>
      <w:numPr>
        <w:numId w:val="1"/>
      </w:numPr>
    </w:pPr>
  </w:style>
  <w:style w:type="paragraph" w:styleId="ListBullet5">
    <w:name w:val="List Bullet 5"/>
    <w:basedOn w:val="List5"/>
    <w:rsid w:val="00E7708C"/>
    <w:pPr>
      <w:numPr>
        <w:numId w:val="2"/>
      </w:numPr>
    </w:pPr>
  </w:style>
  <w:style w:type="paragraph" w:styleId="ListContinue2">
    <w:name w:val="List Continue 2"/>
    <w:basedOn w:val="List2"/>
    <w:rsid w:val="00E7708C"/>
    <w:pPr>
      <w:ind w:firstLine="0"/>
    </w:pPr>
  </w:style>
  <w:style w:type="paragraph" w:styleId="ListContinue3">
    <w:name w:val="List Continue 3"/>
    <w:basedOn w:val="List3"/>
    <w:rsid w:val="00E7708C"/>
    <w:pPr>
      <w:ind w:left="1021" w:firstLine="0"/>
    </w:pPr>
  </w:style>
  <w:style w:type="paragraph" w:styleId="ListContinue4">
    <w:name w:val="List Continue 4"/>
    <w:basedOn w:val="List4"/>
    <w:rsid w:val="00E7708C"/>
    <w:pPr>
      <w:ind w:firstLine="0"/>
    </w:pPr>
  </w:style>
  <w:style w:type="paragraph" w:styleId="ListContinue5">
    <w:name w:val="List Continue 5"/>
    <w:basedOn w:val="List5"/>
    <w:rsid w:val="00E7708C"/>
    <w:pPr>
      <w:ind w:firstLine="0"/>
    </w:pPr>
  </w:style>
  <w:style w:type="paragraph" w:styleId="ListNumber3">
    <w:name w:val="List Number 3"/>
    <w:basedOn w:val="List3"/>
    <w:rsid w:val="00E7708C"/>
    <w:pPr>
      <w:numPr>
        <w:numId w:val="3"/>
      </w:numPr>
    </w:pPr>
  </w:style>
  <w:style w:type="paragraph" w:styleId="ListNumber4">
    <w:name w:val="List Number 4"/>
    <w:basedOn w:val="List4"/>
    <w:rsid w:val="00E7708C"/>
    <w:pPr>
      <w:numPr>
        <w:numId w:val="4"/>
      </w:numPr>
    </w:pPr>
  </w:style>
  <w:style w:type="paragraph" w:styleId="ListNumber5">
    <w:name w:val="List Number 5"/>
    <w:basedOn w:val="List5"/>
    <w:rsid w:val="00E7708C"/>
    <w:pPr>
      <w:numPr>
        <w:numId w:val="5"/>
      </w:numPr>
    </w:pPr>
  </w:style>
  <w:style w:type="paragraph" w:styleId="BlockText">
    <w:name w:val="Block Text"/>
    <w:basedOn w:val="Normal"/>
    <w:rsid w:val="00E7708C"/>
    <w:pPr>
      <w:spacing w:after="120"/>
      <w:ind w:left="1440" w:right="1440"/>
    </w:pPr>
  </w:style>
  <w:style w:type="character" w:customStyle="1" w:styleId="Subscript">
    <w:name w:val="Subscript"/>
    <w:rsid w:val="00E7708C"/>
    <w:rPr>
      <w:sz w:val="16"/>
      <w:vertAlign w:val="subscript"/>
    </w:rPr>
  </w:style>
  <w:style w:type="character" w:customStyle="1" w:styleId="Superscript">
    <w:name w:val="Superscript"/>
    <w:rsid w:val="00E7708C"/>
    <w:rPr>
      <w:sz w:val="16"/>
      <w:vertAlign w:val="superscript"/>
    </w:rPr>
  </w:style>
  <w:style w:type="character" w:customStyle="1" w:styleId="Symbols">
    <w:name w:val="Symbols"/>
    <w:rsid w:val="00E7708C"/>
    <w:rPr>
      <w:rFonts w:ascii="Symbol" w:hAnsi="Symbol"/>
    </w:rPr>
  </w:style>
  <w:style w:type="character" w:customStyle="1" w:styleId="MenuOptions">
    <w:name w:val="Menu Options"/>
    <w:rsid w:val="00E7708C"/>
    <w:rPr>
      <w:rFonts w:ascii="Arial Narrow" w:hAnsi="Arial Narrow"/>
      <w:smallCaps/>
    </w:rPr>
  </w:style>
  <w:style w:type="character" w:customStyle="1" w:styleId="Buttons">
    <w:name w:val="Buttons"/>
    <w:rsid w:val="00E7708C"/>
    <w:rPr>
      <w:b/>
    </w:rPr>
  </w:style>
  <w:style w:type="character" w:customStyle="1" w:styleId="Underlined">
    <w:name w:val="Underlined"/>
    <w:rsid w:val="00E7708C"/>
    <w:rPr>
      <w:u w:val="single"/>
    </w:rPr>
  </w:style>
  <w:style w:type="paragraph" w:customStyle="1" w:styleId="TableBodyTextRight">
    <w:name w:val="Table Body Text Right"/>
    <w:basedOn w:val="TableBodyText"/>
    <w:rsid w:val="00E7708C"/>
    <w:pPr>
      <w:widowControl w:val="0"/>
      <w:autoSpaceDE w:val="0"/>
      <w:autoSpaceDN w:val="0"/>
      <w:adjustRightInd w:val="0"/>
      <w:jc w:val="right"/>
    </w:pPr>
    <w:rPr>
      <w:rFonts w:cs="Arial"/>
      <w:szCs w:val="18"/>
    </w:rPr>
  </w:style>
  <w:style w:type="paragraph" w:customStyle="1" w:styleId="CopyrightText">
    <w:name w:val="Copyright Text"/>
    <w:basedOn w:val="BodyText"/>
    <w:rsid w:val="00E7708C"/>
    <w:rPr>
      <w:sz w:val="18"/>
    </w:rPr>
  </w:style>
  <w:style w:type="paragraph" w:customStyle="1" w:styleId="BodySmallRight">
    <w:name w:val="Body Small Right"/>
    <w:basedOn w:val="BodyTextRight"/>
    <w:rsid w:val="00E7708C"/>
    <w:rPr>
      <w:sz w:val="18"/>
      <w:szCs w:val="18"/>
    </w:rPr>
  </w:style>
  <w:style w:type="paragraph" w:customStyle="1" w:styleId="MarginEdition">
    <w:name w:val="Margin Edition"/>
    <w:basedOn w:val="MarginNote"/>
    <w:rsid w:val="00E7708C"/>
    <w:pPr>
      <w:spacing w:before="0" w:after="0"/>
    </w:pPr>
    <w:rPr>
      <w:rFonts w:ascii="Times New Roman" w:hAnsi="Times New Roman"/>
      <w:color w:val="999999"/>
    </w:rPr>
  </w:style>
  <w:style w:type="paragraph" w:customStyle="1" w:styleId="Spacer">
    <w:name w:val="Spacer"/>
    <w:basedOn w:val="Normal"/>
    <w:rsid w:val="00E7708C"/>
    <w:rPr>
      <w:sz w:val="2"/>
      <w:szCs w:val="2"/>
    </w:rPr>
  </w:style>
  <w:style w:type="character" w:customStyle="1" w:styleId="Small">
    <w:name w:val="Small"/>
    <w:rsid w:val="00E7708C"/>
    <w:rPr>
      <w:sz w:val="16"/>
    </w:rPr>
  </w:style>
  <w:style w:type="paragraph" w:customStyle="1" w:styleId="WideTable">
    <w:name w:val="Wide Table"/>
    <w:basedOn w:val="Normal"/>
    <w:rsid w:val="00E7708C"/>
    <w:pPr>
      <w:ind w:left="-1418"/>
    </w:pPr>
    <w:rPr>
      <w:sz w:val="2"/>
      <w:szCs w:val="2"/>
    </w:rPr>
  </w:style>
  <w:style w:type="character" w:styleId="PageNumber">
    <w:name w:val="page number"/>
    <w:rsid w:val="00E7708C"/>
  </w:style>
  <w:style w:type="paragraph" w:styleId="Quote">
    <w:name w:val="Quote"/>
    <w:basedOn w:val="Heading1"/>
    <w:link w:val="QuoteChar"/>
    <w:qFormat/>
    <w:rsid w:val="00E7708C"/>
    <w:rPr>
      <w:b w:val="0"/>
      <w:sz w:val="72"/>
      <w:szCs w:val="72"/>
      <w:lang w:val="en-NZ"/>
    </w:rPr>
  </w:style>
  <w:style w:type="character" w:customStyle="1" w:styleId="QuoteChar">
    <w:name w:val="Quote Char"/>
    <w:link w:val="Quote"/>
    <w:rsid w:val="00E77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08C"/>
    <w:pPr>
      <w:pageBreakBefore/>
    </w:pPr>
  </w:style>
  <w:style w:type="paragraph" w:customStyle="1" w:styleId="Border">
    <w:name w:val="Border"/>
    <w:basedOn w:val="Normal"/>
    <w:qFormat/>
    <w:rsid w:val="00E7708C"/>
    <w:pPr>
      <w:pBdr>
        <w:top w:val="single" w:sz="18" w:space="1" w:color="auto"/>
      </w:pBdr>
    </w:pPr>
    <w:rPr>
      <w:rFonts w:ascii="Times New Roman" w:hAnsi="Times New Roman"/>
      <w:color w:val="FFFFFF"/>
      <w:sz w:val="2"/>
    </w:rPr>
  </w:style>
  <w:style w:type="character" w:styleId="IntenseEmphasis">
    <w:name w:val="Intense Emphasis"/>
    <w:uiPriority w:val="21"/>
    <w:qFormat/>
    <w:rsid w:val="00E7708C"/>
    <w:rPr>
      <w:b/>
      <w:bCs/>
      <w:i/>
      <w:iCs/>
      <w:color w:val="auto"/>
    </w:rPr>
  </w:style>
  <w:style w:type="paragraph" w:styleId="IntenseQuote">
    <w:name w:val="Intense Quote"/>
    <w:basedOn w:val="Normal"/>
    <w:next w:val="Normal"/>
    <w:link w:val="IntenseQuoteChar"/>
    <w:uiPriority w:val="30"/>
    <w:qFormat/>
    <w:rsid w:val="00E770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708C"/>
    <w:rPr>
      <w:rFonts w:ascii="Courier New" w:eastAsia="Times New Roman" w:hAnsi="Courier New" w:cs="Times New Roman"/>
      <w:b/>
      <w:bCs/>
      <w:i/>
      <w:iCs/>
      <w:szCs w:val="20"/>
      <w:lang w:val="en-US" w:eastAsia="en-US"/>
    </w:rPr>
  </w:style>
  <w:style w:type="character" w:styleId="SubtleReference">
    <w:name w:val="Subtle Reference"/>
    <w:uiPriority w:val="31"/>
    <w:qFormat/>
    <w:rsid w:val="00E7708C"/>
    <w:rPr>
      <w:smallCaps/>
      <w:color w:val="auto"/>
      <w:u w:val="single"/>
    </w:rPr>
  </w:style>
  <w:style w:type="character" w:styleId="IntenseReference">
    <w:name w:val="Intense Reference"/>
    <w:uiPriority w:val="32"/>
    <w:qFormat/>
    <w:rsid w:val="00E7708C"/>
    <w:rPr>
      <w:b/>
      <w:bCs/>
      <w:smallCaps/>
      <w:color w:val="auto"/>
      <w:spacing w:val="5"/>
      <w:u w:val="single"/>
    </w:rPr>
  </w:style>
  <w:style w:type="paragraph" w:customStyle="1" w:styleId="2ColumnHeading">
    <w:name w:val="2Column Heading"/>
    <w:basedOn w:val="BodyText"/>
    <w:qFormat/>
    <w:rsid w:val="00E7708C"/>
    <w:pPr>
      <w:spacing w:after="60"/>
      <w:ind w:left="-2268"/>
    </w:pPr>
    <w:rPr>
      <w:b/>
    </w:rPr>
  </w:style>
  <w:style w:type="paragraph" w:customStyle="1" w:styleId="Heading1TOC">
    <w:name w:val="Heading1 TOC"/>
    <w:basedOn w:val="Normal"/>
    <w:qFormat/>
    <w:rsid w:val="00E7708C"/>
    <w:pPr>
      <w:spacing w:before="240" w:after="120"/>
    </w:pPr>
    <w:rPr>
      <w:rFonts w:ascii="Times New Roman" w:hAnsi="Times New Roman"/>
      <w:b/>
      <w:sz w:val="32"/>
    </w:rPr>
  </w:style>
  <w:style w:type="paragraph" w:customStyle="1" w:styleId="Heading2TOC">
    <w:name w:val="Heading2 TOC"/>
    <w:basedOn w:val="Normal"/>
    <w:qFormat/>
    <w:rsid w:val="00E7708C"/>
    <w:pPr>
      <w:spacing w:before="240" w:after="60"/>
    </w:pPr>
    <w:rPr>
      <w:rFonts w:ascii="Times New Roman" w:hAnsi="Times New Roman"/>
      <w:b/>
      <w:sz w:val="28"/>
    </w:rPr>
  </w:style>
  <w:style w:type="character" w:customStyle="1" w:styleId="Underline">
    <w:name w:val="Underline"/>
    <w:qFormat/>
    <w:rsid w:val="00E7708C"/>
    <w:rPr>
      <w:u w:val="single"/>
    </w:rPr>
  </w:style>
  <w:style w:type="character" w:customStyle="1" w:styleId="BoldandItalics">
    <w:name w:val="Bold and Italics"/>
    <w:qFormat/>
    <w:rsid w:val="00E7708C"/>
    <w:rPr>
      <w:b/>
      <w:i/>
      <w:u w:val="none"/>
    </w:rPr>
  </w:style>
  <w:style w:type="paragraph" w:styleId="BalloonText">
    <w:name w:val="Balloon Text"/>
    <w:basedOn w:val="Normal"/>
    <w:link w:val="BalloonTextChar"/>
    <w:rsid w:val="00E7708C"/>
    <w:rPr>
      <w:rFonts w:ascii="Tahoma" w:hAnsi="Tahoma" w:cs="Tahoma"/>
      <w:sz w:val="16"/>
      <w:szCs w:val="16"/>
    </w:rPr>
  </w:style>
  <w:style w:type="character" w:customStyle="1" w:styleId="BalloonTextChar">
    <w:name w:val="Balloon Text Char"/>
    <w:link w:val="BalloonText"/>
    <w:rsid w:val="00E770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0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70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6091</Characters>
  <Application>Microsoft Office Word</Application>
  <DocSecurity>0</DocSecurity>
  <Lines>253</Lines>
  <Paragraphs>115</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RTE2002A Assist with prescribed burning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2012-05-27T07:40:00Z</dcterms:created>
  <dcterms:modified xsi:type="dcterms:W3CDTF">2012-05-27T07:40:00Z</dcterms:modified>
</cp:coreProperties>
</file>