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A2C" w:rsidP="00CF6A2C">
      <w:pPr>
        <w:pStyle w:val="Title"/>
      </w:pPr>
      <w:r>
        <w:fldChar w:fldCharType="begin"/>
      </w:r>
      <w:r>
        <w:instrText xml:space="preserve"> TITLE   \* MERGEFORMAT </w:instrText>
      </w:r>
      <w:r>
        <w:fldChar w:fldCharType="separate"/>
      </w:r>
      <w:r>
        <w:t>RTD4508A Protect places of cultural significance</w:t>
      </w:r>
      <w:r>
        <w:fldChar w:fldCharType="end"/>
      </w:r>
    </w:p>
    <w:p w:rsidR="00CF6A2C" w:rsidP="00CF6A2C">
      <w:pPr>
        <w:pStyle w:val="Version"/>
        <w:sectPr w:rsidSect="00792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597" w:rsidP="00792597">
      <w:pPr>
        <w:pStyle w:val="SuperHeading"/>
      </w:pPr>
      <w:r w:rsidRPr="00792597">
        <w:t>RTD4508A Protect places of cultural significance</w:t>
      </w:r>
    </w:p>
    <w:p w:rsidR="00000000" w:rsidRPr="00792597" w:rsidP="00792597">
      <w:pPr>
        <w:pStyle w:val="Heading1"/>
      </w:pPr>
      <w:bookmarkStart w:id="1" w:name="O_320930"/>
      <w:bookmarkEnd w:id="1"/>
      <w:r w:rsidRPr="00792597">
        <w:t>Modification History</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2" w:name="O_320929"/>
      <w:bookmarkEnd w:id="2"/>
      <w:r w:rsidRPr="00792597">
        <w:t>Unit Descriptor</w:t>
      </w:r>
    </w:p>
    <w:p w:rsidR="00000000" w:rsidRPr="00792597" w:rsidP="00792597">
      <w:pPr>
        <w:pStyle w:val="BodyText"/>
      </w:pPr>
      <w:r w:rsidRPr="00792597">
        <w:t xml:space="preserve">This competency standard covers the process of protecting cultural places, particularly indigenous peoples places of </w:t>
      </w:r>
      <w:r w:rsidRPr="00792597">
        <w:t>culture, in co-operation with stakeholders.  It requires the ability to communicate with stakeholders, observe cultural protocols, conserve significance of place, and manage incidents and threats.  Protecting places of cultural significance requires knowle</w:t>
      </w:r>
      <w:r w:rsidRPr="00792597">
        <w:t>dge of enterprise policies and procedures for conservation of places of cultural significance, indigenous protocols and networks, non-indigenous cultural groups, enterprise budgetary and financial approval processes.</w:t>
      </w:r>
    </w:p>
    <w:p w:rsidR="00000000" w:rsidRPr="00792597" w:rsidP="00792597">
      <w:pPr>
        <w:pStyle w:val="BodyText"/>
      </w:pPr>
      <w:r w:rsidRPr="00792597">
        <w:rPr>
          <w:rStyle w:val="SpecialBold"/>
        </w:rPr>
        <w:t xml:space="preserve">Note:  For Indigenous cultural places, </w:t>
      </w:r>
      <w:r w:rsidRPr="00792597">
        <w:rPr>
          <w:rStyle w:val="SpecialBold"/>
        </w:rPr>
        <w:t>the delivery and assessment against this competency standard must comply with community protocols and guidelines and be supported by elders and custodians of country.</w:t>
      </w:r>
    </w:p>
    <w:p w:rsidR="00000000" w:rsidRPr="00792597" w:rsidP="00792597">
      <w:pPr>
        <w:pStyle w:val="AllowPageBreak"/>
      </w:pPr>
    </w:p>
    <w:p w:rsidR="00000000" w:rsidRPr="00792597" w:rsidP="00792597">
      <w:pPr>
        <w:pStyle w:val="Heading1"/>
      </w:pPr>
      <w:bookmarkStart w:id="3" w:name="O_320928"/>
      <w:bookmarkEnd w:id="3"/>
      <w:r w:rsidRPr="00792597">
        <w:t>Application of the Unit</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4" w:name="O_320927"/>
      <w:bookmarkEnd w:id="4"/>
      <w:r w:rsidRPr="00792597">
        <w:t>Licensing/Regul</w:t>
      </w:r>
      <w:r w:rsidRPr="00792597">
        <w:t>atory Information</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5" w:name="O_320926"/>
      <w:bookmarkEnd w:id="5"/>
      <w:r w:rsidRPr="00792597">
        <w:t>Pre-Requisites</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6" w:name="O_320920"/>
      <w:bookmarkEnd w:id="6"/>
      <w:r w:rsidRPr="00792597">
        <w:t>Employability Skills Information</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7" w:name="O_320925"/>
      <w:bookmarkEnd w:id="7"/>
      <w:r w:rsidRPr="00792597">
        <w:t>Elements and Performance Criteria Pre-Content</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8" w:name="O_320931"/>
      <w:bookmarkEnd w:id="8"/>
      <w:r w:rsidRPr="0079259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F6A2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rPr>
                <w:rStyle w:val="SpecialBold"/>
              </w:rPr>
              <w:t>Elements and Performance Criteria</w:t>
            </w:r>
          </w:p>
        </w:tc>
      </w:tr>
      <w:tr w:rsidTr="00CF6A2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rPr>
                <w:rStyle w:val="SpecialBold"/>
              </w:rPr>
              <w:t>Performance Criteria</w:t>
            </w:r>
          </w:p>
        </w:tc>
      </w:tr>
      <w:tr w:rsidTr="00CF6A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1</w:t>
            </w:r>
          </w:p>
        </w:tc>
        <w:tc>
          <w:tcPr>
            <w:tcW w:w="3000" w:type="dxa"/>
            <w:vMerge w:val="restart"/>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Communicate with </w:t>
            </w:r>
            <w:r w:rsidRPr="00792597">
              <w:rPr>
                <w:rStyle w:val="SpecialBold"/>
              </w:rPr>
              <w:t>stakeholders</w:t>
            </w: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1.1</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Working relationships are developed with stakeholders that as</w:t>
            </w:r>
            <w:r w:rsidRPr="00792597">
              <w:t>sist in the management of culturally significant places.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1.2</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Communication approaches are developed that accommodate cultural views.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1.3</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Views are regularly obtained on the way in which the cultural significance and resource can be conserved and used.</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1.4</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Views obtained are conveyed into enterprise and park/reserve planning process.</w:t>
            </w:r>
          </w:p>
        </w:tc>
      </w:tr>
      <w:tr w:rsidTr="00CF6A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2</w:t>
            </w:r>
          </w:p>
        </w:tc>
        <w:tc>
          <w:tcPr>
            <w:tcW w:w="3000" w:type="dxa"/>
            <w:vMerge w:val="restart"/>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Conserve significance</w:t>
            </w: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2.1</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Enterprise conservation po</w:t>
            </w:r>
            <w:r w:rsidRPr="00792597">
              <w:t>licies and plans are used with stakeholder views to plan ongoing conservation actions.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t>2.2</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rPr>
                <w:rStyle w:val="SpecialBold"/>
              </w:rPr>
              <w:t xml:space="preserve">Operational activities </w:t>
            </w:r>
            <w:r w:rsidRPr="00792597">
              <w:t>are developed and implemented to implement the conservation strategies and plans in a culturally sensitive manner.</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2.3</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Staff are organised to implement conservation actions that minimise deterioration and damage.</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2.4</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Staff are supervised during restoration projects.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2.5</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Resources are obtained for conservation and restoration activities.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2.6</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Submissions are made to the enterprise budget process for funds to implement the conservation and restoration activities.</w:t>
            </w:r>
          </w:p>
        </w:tc>
      </w:tr>
      <w:tr w:rsidTr="00CF6A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3</w:t>
            </w:r>
          </w:p>
        </w:tc>
        <w:tc>
          <w:tcPr>
            <w:tcW w:w="3000" w:type="dxa"/>
            <w:vMerge w:val="restart"/>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Manage </w:t>
            </w:r>
            <w:r w:rsidRPr="00792597">
              <w:rPr>
                <w:rStyle w:val="SpecialBold"/>
              </w:rPr>
              <w:t>incidents</w:t>
            </w: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3.1</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Operational plans are developed to manage incidents consistent with plan of management and risk management ana</w:t>
            </w:r>
            <w:r w:rsidRPr="00792597">
              <w:t>lysis.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3.2</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Staff responsibilities are assigned to manage types of incidents.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t>3.3</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rPr>
                <w:rStyle w:val="SpecialBold"/>
              </w:rPr>
              <w:t xml:space="preserve">Equipment and supplies </w:t>
            </w:r>
            <w:r w:rsidRPr="00792597">
              <w:t xml:space="preserve">are obtained and maintained to enable effective response to </w:t>
            </w:r>
            <w:r w:rsidRPr="00792597">
              <w:t>incidents.</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3.4</w:t>
            </w:r>
          </w:p>
        </w:tc>
        <w:tc>
          <w:tcPr>
            <w:tcW w:w="51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Staff are trained in the management of the types of incidents fo</w:t>
            </w:r>
            <w:r w:rsidRPr="00792597">
              <w:t>r which they have an involvement.</w:t>
            </w:r>
          </w:p>
        </w:tc>
      </w:tr>
      <w:tr w:rsidTr="00CF6A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3.5</w:t>
            </w:r>
          </w:p>
        </w:tc>
        <w:tc>
          <w:tcPr>
            <w:tcW w:w="5100" w:type="dxa"/>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t>Submissions are made to the enterprise budget process for funds to support the incident management activities.</w:t>
            </w:r>
          </w:p>
        </w:tc>
      </w:tr>
    </w:tbl>
    <w:p w:rsidR="00000000" w:rsidRPr="00792597" w:rsidP="00792597">
      <w:pPr>
        <w:pStyle w:val="BodyText"/>
      </w:pPr>
    </w:p>
    <w:p w:rsidR="00000000" w:rsidRPr="00792597" w:rsidP="00792597">
      <w:pPr>
        <w:pStyle w:val="AllowPageBreak"/>
      </w:pPr>
    </w:p>
    <w:p w:rsidR="00000000" w:rsidRPr="00792597" w:rsidP="00792597">
      <w:pPr>
        <w:pStyle w:val="Heading1"/>
      </w:pPr>
      <w:bookmarkStart w:id="9" w:name="O_320924"/>
      <w:bookmarkEnd w:id="9"/>
      <w:r w:rsidRPr="00792597">
        <w:t>Required Skills and Knowledge</w:t>
      </w:r>
    </w:p>
    <w:p w:rsidR="00000000" w:rsidRPr="00792597" w:rsidP="00792597">
      <w:pPr>
        <w:pStyle w:val="BodyText"/>
      </w:pPr>
      <w:r w:rsidRPr="00792597">
        <w:t>Not applicable.</w:t>
      </w:r>
    </w:p>
    <w:p w:rsidR="00000000" w:rsidRPr="00792597" w:rsidP="00792597">
      <w:pPr>
        <w:pStyle w:val="AllowPageBreak"/>
      </w:pPr>
    </w:p>
    <w:p w:rsidR="00000000" w:rsidRPr="00792597" w:rsidP="00792597">
      <w:pPr>
        <w:pStyle w:val="Heading1"/>
      </w:pPr>
      <w:bookmarkStart w:id="10" w:name="O_320923"/>
      <w:bookmarkEnd w:id="10"/>
      <w:r w:rsidRPr="00792597">
        <w:t>Evidence Guide</w:t>
      </w:r>
    </w:p>
    <w:tbl>
      <w:tblPr>
        <w:tblW w:w="0" w:type="auto"/>
        <w:tblLayout w:type="fixed"/>
        <w:tblCellMar>
          <w:left w:w="62" w:type="dxa"/>
          <w:right w:w="62" w:type="dxa"/>
        </w:tblCellMar>
        <w:tblLook w:val="0000"/>
      </w:tblPr>
      <w:tblGrid>
        <w:gridCol w:w="4500"/>
        <w:gridCol w:w="4500"/>
      </w:tblGrid>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rPr>
                <w:rStyle w:val="SpecialBold"/>
              </w:rPr>
              <w:t>What evidence is required to demonstrate competence for this standard as a whole</w:t>
            </w:r>
            <w:r w:rsidRPr="00792597">
              <w:t>?</w:t>
            </w:r>
          </w:p>
          <w:p w:rsidR="00000000" w:rsidP="00792597">
            <w:pPr>
              <w:pStyle w:val="BodyText"/>
              <w:rPr>
                <w:lang w:val="en-NZ"/>
              </w:rPr>
            </w:pPr>
            <w:r w:rsidRPr="00792597">
              <w:t>Competence in protecting places of cultural significance requires evidence that an individual can demonstrate that they have the required knowledge and skills to appropriatel</w:t>
            </w:r>
            <w:r w:rsidRPr="00792597">
              <w:t xml:space="preserve">y consult with indigenous communities to protect places of cultural significance according to community and agency guidelines and best practice procedures.  The skills and knowledge required to protect places of cultural significance must be </w:t>
            </w:r>
            <w:r w:rsidRPr="00792597">
              <w:rPr>
                <w:rStyle w:val="SpecialBold"/>
              </w:rPr>
              <w:t>transferable</w:t>
            </w:r>
            <w:r w:rsidRPr="00792597">
              <w:t xml:space="preserve"> t</w:t>
            </w:r>
            <w:r w:rsidRPr="00792597">
              <w:t xml:space="preserve">o a range of work environments and contexts.  For example, this could include different places, communities and reasons for protection. </w:t>
            </w: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rPr>
                <w:rStyle w:val="SpecialBold"/>
              </w:rPr>
              <w:t>What specific knowledge is needed to achieve the performance criteria</w:t>
            </w:r>
            <w:r w:rsidRPr="00792597">
              <w:t>?</w:t>
            </w:r>
          </w:p>
        </w:tc>
        <w:tc>
          <w:tcPr>
            <w:tcW w:w="4500" w:type="dxa"/>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t>Knowledge and understanding are essential t</w:t>
            </w:r>
            <w:r w:rsidRPr="00792597">
              <w:t xml:space="preserve">o apply this standard in the workplace, to transfer the skills to other contexts and to deal with unplanned events.  The knowledge requirements for this unit are listed below:    </w:t>
            </w:r>
          </w:p>
          <w:p w:rsidR="00000000" w:rsidRPr="00792597" w:rsidP="00792597">
            <w:pPr>
              <w:pStyle w:val="BodyText"/>
            </w:pPr>
            <w:r w:rsidRPr="00792597">
              <w:t>Enterprise policies and procedures for conservation of places of cultural si</w:t>
            </w:r>
            <w:r w:rsidRPr="00792597">
              <w:t>gnificance.</w:t>
            </w:r>
          </w:p>
          <w:p w:rsidR="00000000" w:rsidRPr="00792597" w:rsidP="00792597">
            <w:pPr>
              <w:pStyle w:val="BodyText"/>
            </w:pPr>
            <w:r w:rsidRPr="00792597">
              <w:t>Indigenous protocols, consultation processes and networks.</w:t>
            </w:r>
          </w:p>
          <w:p w:rsidR="00000000" w:rsidRPr="00792597" w:rsidP="00792597">
            <w:pPr>
              <w:pStyle w:val="BodyText"/>
            </w:pPr>
            <w:r w:rsidRPr="00792597">
              <w:t>Non-indigenous cultural groups.</w:t>
            </w:r>
          </w:p>
          <w:p w:rsidR="00000000" w:rsidP="00792597">
            <w:pPr>
              <w:pStyle w:val="BodyText"/>
              <w:rPr>
                <w:lang w:val="en-NZ"/>
              </w:rPr>
            </w:pPr>
            <w:r w:rsidRPr="00792597">
              <w:t xml:space="preserve">Enterprise budgetary and financial approval processes.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rPr>
                <w:rStyle w:val="SpecialBold"/>
              </w:rPr>
              <w:t>What specific skills are needed to achieve the performance criteria</w:t>
            </w:r>
            <w:r w:rsidRPr="00792597">
              <w:t xml:space="preserve">? </w:t>
            </w:r>
          </w:p>
        </w:tc>
        <w:tc>
          <w:tcPr>
            <w:tcW w:w="4500" w:type="dxa"/>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t xml:space="preserve">To achieve the performance criteria, some complementary skills are required.  These skills include the ability to:    </w:t>
            </w:r>
          </w:p>
          <w:p w:rsidR="00000000" w:rsidRPr="00792597" w:rsidP="00792597">
            <w:pPr>
              <w:pStyle w:val="BodyText"/>
            </w:pPr>
            <w:r w:rsidRPr="00792597">
              <w:t>Communicate with stakeholders.</w:t>
            </w:r>
          </w:p>
          <w:p w:rsidR="00000000" w:rsidRPr="00792597" w:rsidP="00792597">
            <w:pPr>
              <w:pStyle w:val="BodyText"/>
            </w:pPr>
            <w:r w:rsidRPr="00792597">
              <w:t>Conserve significance.</w:t>
            </w:r>
          </w:p>
          <w:p w:rsidR="00000000" w:rsidP="00792597">
            <w:pPr>
              <w:pStyle w:val="BodyText"/>
              <w:rPr>
                <w:lang w:val="en-NZ"/>
              </w:rPr>
            </w:pPr>
            <w:r w:rsidRPr="00792597">
              <w:t xml:space="preserve">Manage incidents.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rPr>
                <w:rStyle w:val="SpecialBold"/>
              </w:rPr>
              <w:t>What processes should be applied to this competency stand</w:t>
            </w:r>
            <w:r w:rsidRPr="00792597">
              <w:rPr>
                <w:rStyle w:val="SpecialBold"/>
              </w:rPr>
              <w:t>ard</w:t>
            </w:r>
            <w:r w:rsidRPr="00792597">
              <w:t>?</w:t>
            </w:r>
          </w:p>
          <w:p w:rsidR="00000000" w:rsidP="00792597">
            <w:pPr>
              <w:pStyle w:val="BodyText"/>
              <w:rPr>
                <w:lang w:val="en-NZ"/>
              </w:rPr>
            </w:pPr>
            <w:r w:rsidRPr="00792597">
              <w:t xml:space="preserve">There are a number of processes that are learnt throughout work and life, which are required in all jobs.  They are fundamental processes and generally transferable to other work functions.  Some of these are covered by the </w:t>
            </w:r>
            <w:r w:rsidRPr="00792597">
              <w:rPr>
                <w:rStyle w:val="SpecialBold"/>
              </w:rPr>
              <w:t>key competencies</w:t>
            </w:r>
            <w:r w:rsidRPr="00792597">
              <w:t xml:space="preserve">, although </w:t>
            </w:r>
            <w:r w:rsidRPr="00792597">
              <w:t xml:space="preserve">others may be added.  The questions below highlight how these processes are applied in this competency standard.  Following each question a number in brackets indicates the level to which the key competency needs to be demonstrated where 0 = not required, </w:t>
            </w:r>
            <w:r w:rsidRPr="00792597">
              <w:t xml:space="preserve">1 = perform the process, 2 = perform and administer the process and 3 = perform, administer and design the process.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1. How can </w:t>
            </w:r>
            <w:r w:rsidRPr="00792597">
              <w:rPr>
                <w:rStyle w:val="SpecialBold"/>
              </w:rPr>
              <w:t>communication of ideas and information</w:t>
            </w:r>
            <w:r w:rsidRPr="00792597">
              <w:t xml:space="preserve"> (</w:t>
            </w:r>
            <w:r w:rsidRPr="00792597">
              <w:rPr>
                <w:rStyle w:val="SpecialBold"/>
              </w:rPr>
              <w:t>3</w:t>
            </w:r>
            <w:r w:rsidRPr="0079259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Consultation.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2. How can </w:t>
            </w:r>
            <w:r w:rsidRPr="00792597">
              <w:rPr>
                <w:rStyle w:val="SpecialBold"/>
              </w:rPr>
              <w:t>information be collected</w:t>
            </w:r>
            <w:r w:rsidRPr="00792597">
              <w:t xml:space="preserve">, </w:t>
            </w:r>
            <w:r w:rsidRPr="00792597">
              <w:rPr>
                <w:rStyle w:val="SpecialBold"/>
              </w:rPr>
              <w:t>analysed and organised</w:t>
            </w:r>
            <w:r w:rsidRPr="00792597">
              <w:t xml:space="preserve"> (</w:t>
            </w:r>
            <w:r w:rsidRPr="00792597">
              <w:rPr>
                <w:rStyle w:val="SpecialBold"/>
              </w:rPr>
              <w:t>2</w:t>
            </w:r>
            <w:r w:rsidRPr="00792597">
              <w:t xml:space="preserve">)?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Views of stakeholders.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3. How are </w:t>
            </w:r>
            <w:r w:rsidRPr="00792597">
              <w:rPr>
                <w:rStyle w:val="SpecialBold"/>
              </w:rPr>
              <w:t>activities planned and organised</w:t>
            </w:r>
            <w:r w:rsidRPr="00792597">
              <w:t xml:space="preserve"> (</w:t>
            </w:r>
            <w:r w:rsidRPr="00792597">
              <w:rPr>
                <w:rStyle w:val="SpecialBold"/>
              </w:rPr>
              <w:t>2</w:t>
            </w:r>
            <w:r w:rsidRPr="00792597">
              <w:t xml:space="preserve">)?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Scheduling conservation works.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4. How can </w:t>
            </w:r>
            <w:r w:rsidRPr="00792597">
              <w:rPr>
                <w:rStyle w:val="SpecialBold"/>
              </w:rPr>
              <w:t>team work</w:t>
            </w:r>
            <w:r w:rsidRPr="00792597">
              <w:t xml:space="preserve"> (</w:t>
            </w:r>
            <w:r w:rsidRPr="00792597">
              <w:rPr>
                <w:rStyle w:val="SpecialBold"/>
              </w:rPr>
              <w:t>2</w:t>
            </w:r>
            <w:r w:rsidRPr="0079259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Managing staff in the field.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5. How can the use of </w:t>
            </w:r>
            <w:r w:rsidRPr="00792597">
              <w:rPr>
                <w:rStyle w:val="SpecialBold"/>
              </w:rPr>
              <w:t>mathematical ideas and techniques</w:t>
            </w:r>
            <w:r w:rsidRPr="00792597">
              <w:t xml:space="preserve"> (</w:t>
            </w:r>
            <w:r w:rsidRPr="00792597">
              <w:rPr>
                <w:rStyle w:val="SpecialBold"/>
              </w:rPr>
              <w:t>1</w:t>
            </w:r>
            <w:r w:rsidRPr="0079259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Determining resource requirements.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6. How can </w:t>
            </w:r>
            <w:r w:rsidRPr="00792597">
              <w:rPr>
                <w:rStyle w:val="SpecialBold"/>
              </w:rPr>
              <w:t>problem</w:t>
            </w:r>
            <w:r w:rsidRPr="00792597">
              <w:t>-</w:t>
            </w:r>
            <w:r w:rsidRPr="00792597">
              <w:rPr>
                <w:rStyle w:val="SpecialBold"/>
              </w:rPr>
              <w:t>solving skills</w:t>
            </w:r>
            <w:r w:rsidRPr="00792597">
              <w:t xml:space="preserve"> (</w:t>
            </w:r>
            <w:r w:rsidRPr="00792597">
              <w:rPr>
                <w:rStyle w:val="SpecialBold"/>
              </w:rPr>
              <w:t>2</w:t>
            </w:r>
            <w:r w:rsidRPr="0079259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Dealing with communities and their issues.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7. How can the </w:t>
            </w:r>
            <w:r w:rsidRPr="00792597">
              <w:rPr>
                <w:rStyle w:val="SpecialBold"/>
              </w:rPr>
              <w:t>use of technology</w:t>
            </w:r>
            <w:r w:rsidRPr="00792597">
              <w:t xml:space="preserve"> (</w:t>
            </w:r>
            <w:r w:rsidRPr="00792597">
              <w:rPr>
                <w:rStyle w:val="SpecialBold"/>
              </w:rPr>
              <w:t>1</w:t>
            </w:r>
            <w:r w:rsidRPr="0079259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Machinery and equipmen</w:t>
            </w:r>
            <w:r w:rsidRPr="00792597">
              <w:t xml:space="preserve">t, and computer applications.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rPr>
                <w:rStyle w:val="SpecialBold"/>
              </w:rPr>
              <w:t>Are there other competency standards that could be assessed with this one</w:t>
            </w:r>
            <w:r w:rsidRPr="00792597">
              <w:t>?</w:t>
            </w:r>
          </w:p>
          <w:p w:rsidR="00000000" w:rsidP="00792597">
            <w:pPr>
              <w:pStyle w:val="BodyText"/>
              <w:rPr>
                <w:lang w:val="en-NZ"/>
              </w:rPr>
            </w:pPr>
            <w:r w:rsidRPr="00792597">
              <w:t xml:space="preserve">This competency standard could be assessed on its own or in combination with other competencies relevant to the job function. </w:t>
            </w: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2597">
            <w:pPr>
              <w:pStyle w:val="BodyText"/>
              <w:rPr>
                <w:lang w:val="en-NZ"/>
              </w:rPr>
            </w:pP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t xml:space="preserve">For information about </w:t>
            </w:r>
            <w:r w:rsidRPr="00792597">
              <w:rPr>
                <w:rStyle w:val="SpecialBold"/>
              </w:rPr>
              <w:t>assessing this competency standard for consistent performance</w:t>
            </w:r>
            <w:r w:rsidRPr="00792597">
              <w:t xml:space="preserve"> and </w:t>
            </w:r>
            <w:r w:rsidRPr="00792597">
              <w:rPr>
                <w:rStyle w:val="SpecialBold"/>
              </w:rPr>
              <w:t>where and how it may be assessed</w:t>
            </w:r>
            <w:r w:rsidRPr="00792597">
              <w:t xml:space="preserve">, refer to the Assessment Guidelines for this Training Package. </w:t>
            </w:r>
          </w:p>
        </w:tc>
      </w:tr>
    </w:tbl>
    <w:p w:rsidR="00000000" w:rsidRPr="00792597" w:rsidP="00792597">
      <w:pPr>
        <w:pStyle w:val="BodyText"/>
      </w:pPr>
    </w:p>
    <w:p w:rsidR="00000000" w:rsidRPr="00792597" w:rsidP="00792597">
      <w:pPr>
        <w:pStyle w:val="AllowPageBreak"/>
      </w:pPr>
    </w:p>
    <w:p w:rsidR="00000000" w:rsidRPr="00792597" w:rsidP="00792597">
      <w:pPr>
        <w:pStyle w:val="Heading1"/>
      </w:pPr>
      <w:bookmarkStart w:id="11" w:name="O_320922"/>
      <w:bookmarkEnd w:id="11"/>
      <w:r w:rsidRPr="00792597">
        <w:t>Range Statement</w:t>
      </w:r>
    </w:p>
    <w:tbl>
      <w:tblPr>
        <w:tblW w:w="0" w:type="auto"/>
        <w:tblLayout w:type="fixed"/>
        <w:tblCellMar>
          <w:left w:w="62" w:type="dxa"/>
          <w:right w:w="62" w:type="dxa"/>
        </w:tblCellMar>
        <w:tblLook w:val="0000"/>
      </w:tblPr>
      <w:tblGrid>
        <w:gridCol w:w="4500"/>
        <w:gridCol w:w="4500"/>
      </w:tblGrid>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r w:rsidRPr="00792597">
              <w:rPr>
                <w:rStyle w:val="SpecialBold"/>
              </w:rPr>
              <w:t>Range of Variables</w:t>
            </w:r>
          </w:p>
          <w:p w:rsidR="00000000" w:rsidP="00792597">
            <w:pPr>
              <w:pStyle w:val="BodyText"/>
              <w:rPr>
                <w:lang w:val="en-NZ"/>
              </w:rPr>
            </w:pPr>
            <w:r w:rsidRPr="00792597">
              <w:t>The Range of Variables defines the different contexts, work environments and parameters governing the performance of this competency standard.  The variables chosen in training and assessment will need to reflect local industry and regional contexts</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Whic</w:t>
            </w:r>
            <w:r w:rsidRPr="00792597">
              <w:t xml:space="preserve">h </w:t>
            </w:r>
            <w:r w:rsidRPr="00792597">
              <w:rPr>
                <w:rStyle w:val="SpecialBold"/>
              </w:rPr>
              <w:t>groups</w:t>
            </w:r>
            <w:r w:rsidRPr="00792597">
              <w:t xml:space="preserve"> may be included in the contact list for places of cultural significance?</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An immigrant group, one or more of traditional custodians and owners of the place/area, a cultural reference group, a management committee, a recognised community and/or comm</w:t>
            </w:r>
            <w:r w:rsidRPr="00792597">
              <w:t xml:space="preserve">unity organisations.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Which places of </w:t>
            </w:r>
            <w:r w:rsidRPr="00792597">
              <w:rPr>
                <w:rStyle w:val="SpecialBold"/>
              </w:rPr>
              <w:t>cultural significance</w:t>
            </w:r>
            <w:r w:rsidRPr="00792597">
              <w:t xml:space="preserve"> may be included in this standard?</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Areas of non-indigenous activity, buildings and other structures, natural areas of indigenous cultural significance, historical events and monuments, areas of in</w:t>
            </w:r>
            <w:r w:rsidRPr="00792597">
              <w:t xml:space="preserve">digenous activity such as burial, occupation and contact sites, engravings, grinding grooves, rock pictures, fish traps, middens and mounds.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Which </w:t>
            </w:r>
            <w:r w:rsidRPr="00792597">
              <w:rPr>
                <w:rStyle w:val="SpecialBold"/>
              </w:rPr>
              <w:t>stakeholders</w:t>
            </w:r>
            <w:r w:rsidRPr="00792597">
              <w:t xml:space="preserve"> may be involved?</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Supervisors and managers, visitors to the park/reserve, indigenous peoples wi</w:t>
            </w:r>
            <w:r w:rsidRPr="00792597">
              <w:t>th an interest in the park/reserve, local population and general public, businesses operating in park such as tour operators, concessionaires, accommodation operators, owners/managers of the park/reserve including a trust managing the area of land, a gover</w:t>
            </w:r>
            <w:r w:rsidRPr="00792597">
              <w:t xml:space="preserve">nment agency, private organisations, enterprises or individuals.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Which </w:t>
            </w:r>
            <w:r w:rsidRPr="00792597">
              <w:rPr>
                <w:rStyle w:val="SpecialBold"/>
              </w:rPr>
              <w:t>operational activities</w:t>
            </w:r>
            <w:r w:rsidRPr="00792597">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Protection of places of cultural significance, pest management, fauna management, projects to regenerate, restore, enhance,</w:t>
            </w:r>
            <w:r w:rsidRPr="00792597">
              <w:t xml:space="preserve"> reinstate and/or preserve places and areas of natural and/or cultural significance, development and maintenance of access roads, walks etc., development and provision of interpretative materials and services, development and maintenance of visitor facilit</w:t>
            </w:r>
            <w:r w:rsidRPr="00792597">
              <w:t>ies, provision and operation of accommodation, collection of fees etc., from visitors and others, provision of events/exhibitions etc., for visitors contracting of visitor and other services, e.g., kiosks and cafes, tours, accommodation services, etc., pre</w:t>
            </w:r>
            <w:r w:rsidRPr="00792597">
              <w:t xml:space="preserve">scribed burning, wildfire and urban fire management, management of emergencies, waste and pollution management.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What sorts of </w:t>
            </w:r>
            <w:r w:rsidRPr="00792597">
              <w:rPr>
                <w:rStyle w:val="SpecialBold"/>
              </w:rPr>
              <w:t>incidents</w:t>
            </w:r>
            <w:r w:rsidRPr="00792597">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Injury to visitors from tripping, falling, falling objects, animal and insect bites and scratches, dangerous animals and reptiles such as kangaroos, buffalo, crocodiles, snakes, injury to visitors from recreation activities, condition of lands, river and s</w:t>
            </w:r>
            <w:r w:rsidRPr="00792597">
              <w:t xml:space="preserve">ea shores, cliff faces, sand hills, trees, buildings, pathways and roadways, construction works and surrounds, visitor illness, including effects from being in place/area, such as sunburn, allergic reactions, lost visitors, changes in weather, boating and </w:t>
            </w:r>
            <w:r w:rsidRPr="00792597">
              <w:t xml:space="preserve">vehicle accidents, food poisoning, tropical infections and diseases, and complications to other injuries.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What </w:t>
            </w:r>
            <w:r w:rsidRPr="00792597">
              <w:rPr>
                <w:rStyle w:val="SpecialBold"/>
              </w:rPr>
              <w:t>equipment and supplies</w:t>
            </w:r>
            <w:r w:rsidRPr="00792597">
              <w:t xml:space="preserve"> for incident management may be relevant?</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First aid kit, protective barriers, firefighting equipment, security equipment </w:t>
            </w:r>
            <w:r w:rsidRPr="00792597">
              <w:t xml:space="preserve">including alarms, occupational health and safety and public safety protective equipment. </w:t>
            </w:r>
          </w:p>
        </w:tc>
      </w:tr>
      <w:tr w:rsidTr="00CF6A2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 xml:space="preserve">How may </w:t>
            </w:r>
            <w:r w:rsidRPr="00792597">
              <w:rPr>
                <w:rStyle w:val="SpecialBold"/>
              </w:rPr>
              <w:t>workplace communication</w:t>
            </w:r>
            <w:r w:rsidRPr="00792597">
              <w:t xml:space="preserve"> take place?</w:t>
            </w:r>
          </w:p>
        </w:tc>
        <w:tc>
          <w:tcPr>
            <w:tcW w:w="4500" w:type="dxa"/>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Verbal communications about work practice and organisation with supervisor and peers, short written notes relating to wor</w:t>
            </w:r>
            <w:r w:rsidRPr="00792597">
              <w:t xml:space="preserve">kplace activities and incidents, appropriate communications with and assistance provided to visitors in the form of information and directions as clients. </w:t>
            </w: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92597">
            <w:pPr>
              <w:pStyle w:val="BodyText"/>
              <w:rPr>
                <w:lang w:val="en-NZ"/>
              </w:rPr>
            </w:pPr>
            <w:r w:rsidRPr="00792597">
              <w:t>For more information on contexts, environment and variables for training and assessment refer to th</w:t>
            </w:r>
            <w:r w:rsidRPr="00792597">
              <w:t xml:space="preserve">e Sector Booklet. </w:t>
            </w:r>
          </w:p>
        </w:tc>
      </w:tr>
      <w:tr w:rsidTr="00CF6A2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92597" w:rsidP="00792597">
            <w:pPr>
              <w:pStyle w:val="BodyText"/>
            </w:pPr>
          </w:p>
        </w:tc>
      </w:tr>
    </w:tbl>
    <w:p w:rsidR="00000000" w:rsidRPr="00792597" w:rsidP="00792597">
      <w:pPr>
        <w:pStyle w:val="BodyText"/>
      </w:pPr>
    </w:p>
    <w:p w:rsidR="00000000" w:rsidRPr="00792597" w:rsidP="00792597">
      <w:pPr>
        <w:pStyle w:val="AllowPageBreak"/>
      </w:pPr>
    </w:p>
    <w:p w:rsidR="00000000" w:rsidRPr="00792597" w:rsidP="00792597">
      <w:pPr>
        <w:pStyle w:val="Heading1"/>
      </w:pPr>
      <w:bookmarkStart w:id="12" w:name="O_320921"/>
      <w:bookmarkEnd w:id="12"/>
      <w:r w:rsidRPr="00792597">
        <w:t>Unit Sector(s)</w:t>
      </w:r>
    </w:p>
    <w:p w:rsidR="00000000" w:rsidRPr="00792597" w:rsidP="00792597">
      <w:pPr>
        <w:pStyle w:val="BodyText"/>
      </w:pPr>
      <w:r w:rsidRPr="00792597">
        <w:t>Not applicable.</w:t>
      </w:r>
    </w:p>
    <w:p w:rsidR="00000000" w:rsidRPr="00792597" w:rsidP="00792597"/>
    <w:sectPr w:rsidSect="00792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A2C" w:rsidP="00CF6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2C" w:rsidP="00792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6A2C" w:rsidP="00792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6A2C" w:rsidP="00792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A2C" w:rsidP="00CF6A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2C" w:rsidP="00792597">
    <w:pPr>
      <w:pStyle w:val="Header"/>
      <w:framePr w:wrap="around"/>
    </w:pPr>
    <w:r>
      <w:fldChar w:fldCharType="begin"/>
    </w:r>
    <w:r>
      <w:instrText xml:space="preserve"> TITLE   \* MERGEFORMAT </w:instrText>
    </w:r>
    <w:r>
      <w:fldChar w:fldCharType="separate"/>
    </w:r>
    <w:r>
      <w:t>RTD4508A Protect places of cultural significance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6A2C" w:rsidP="007925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5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597"/>
    <w:pPr>
      <w:spacing w:before="360" w:after="60"/>
      <w:outlineLvl w:val="0"/>
    </w:pPr>
    <w:rPr>
      <w:sz w:val="32"/>
    </w:rPr>
  </w:style>
  <w:style w:type="paragraph" w:styleId="Heading2">
    <w:name w:val="heading 2"/>
    <w:basedOn w:val="HeadingBase"/>
    <w:next w:val="BodyText"/>
    <w:link w:val="Heading2Char"/>
    <w:qFormat/>
    <w:rsid w:val="00792597"/>
    <w:pPr>
      <w:keepLines/>
      <w:spacing w:before="240" w:after="120"/>
      <w:outlineLvl w:val="1"/>
    </w:pPr>
    <w:rPr>
      <w:sz w:val="28"/>
      <w:szCs w:val="40"/>
    </w:rPr>
  </w:style>
  <w:style w:type="paragraph" w:styleId="Heading3">
    <w:name w:val="heading 3"/>
    <w:basedOn w:val="HeadingBase"/>
    <w:next w:val="BodyText"/>
    <w:link w:val="Heading3Char"/>
    <w:qFormat/>
    <w:rsid w:val="00792597"/>
    <w:pPr>
      <w:spacing w:before="180" w:after="120"/>
      <w:outlineLvl w:val="2"/>
    </w:pPr>
    <w:rPr>
      <w:spacing w:val="-10"/>
      <w:kern w:val="32"/>
    </w:rPr>
  </w:style>
  <w:style w:type="paragraph" w:styleId="Heading4">
    <w:name w:val="heading 4"/>
    <w:basedOn w:val="HeadingBase"/>
    <w:next w:val="BodyText"/>
    <w:link w:val="Heading4Char"/>
    <w:qFormat/>
    <w:rsid w:val="00792597"/>
    <w:pPr>
      <w:spacing w:before="160" w:after="120"/>
      <w:outlineLvl w:val="3"/>
    </w:pPr>
    <w:rPr>
      <w:sz w:val="22"/>
    </w:rPr>
  </w:style>
  <w:style w:type="paragraph" w:styleId="Heading5">
    <w:name w:val="heading 5"/>
    <w:basedOn w:val="HeadingBase"/>
    <w:next w:val="Normal"/>
    <w:link w:val="Heading5Char"/>
    <w:qFormat/>
    <w:rsid w:val="00792597"/>
    <w:pPr>
      <w:spacing w:before="80"/>
      <w:outlineLvl w:val="4"/>
    </w:pPr>
    <w:rPr>
      <w:color w:val="918585"/>
      <w:sz w:val="20"/>
    </w:rPr>
  </w:style>
  <w:style w:type="paragraph" w:styleId="Heading6">
    <w:name w:val="heading 6"/>
    <w:basedOn w:val="HeadingBase"/>
    <w:next w:val="Normal"/>
    <w:link w:val="Heading6Char"/>
    <w:qFormat/>
    <w:rsid w:val="00792597"/>
    <w:pPr>
      <w:spacing w:before="60"/>
      <w:outlineLvl w:val="5"/>
    </w:pPr>
    <w:rPr>
      <w:color w:val="918585"/>
      <w:sz w:val="20"/>
    </w:rPr>
  </w:style>
  <w:style w:type="paragraph" w:styleId="Heading7">
    <w:name w:val="heading 7"/>
    <w:basedOn w:val="Normal"/>
    <w:next w:val="Normal"/>
    <w:link w:val="Heading7Char"/>
    <w:qFormat/>
    <w:rsid w:val="00792597"/>
    <w:pPr>
      <w:ind w:left="720"/>
      <w:outlineLvl w:val="6"/>
    </w:pPr>
    <w:rPr>
      <w:i/>
    </w:rPr>
  </w:style>
  <w:style w:type="paragraph" w:styleId="Heading8">
    <w:name w:val="heading 8"/>
    <w:basedOn w:val="Normal"/>
    <w:next w:val="Normal"/>
    <w:link w:val="Heading8Char"/>
    <w:qFormat/>
    <w:rsid w:val="00792597"/>
    <w:pPr>
      <w:ind w:left="720"/>
      <w:outlineLvl w:val="7"/>
    </w:pPr>
    <w:rPr>
      <w:i/>
    </w:rPr>
  </w:style>
  <w:style w:type="paragraph" w:styleId="Heading9">
    <w:name w:val="heading 9"/>
    <w:basedOn w:val="Normal"/>
    <w:next w:val="Normal"/>
    <w:link w:val="Heading9Char"/>
    <w:qFormat/>
    <w:rsid w:val="00792597"/>
    <w:pPr>
      <w:ind w:left="720"/>
      <w:outlineLvl w:val="8"/>
    </w:pPr>
    <w:rPr>
      <w:i/>
    </w:rPr>
  </w:style>
  <w:style w:type="character" w:default="1" w:styleId="DefaultParagraphFont">
    <w:name w:val="Default Paragraph Font"/>
    <w:uiPriority w:val="1"/>
    <w:unhideWhenUsed/>
    <w:rsid w:val="00792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597"/>
  </w:style>
  <w:style w:type="character" w:customStyle="1" w:styleId="Heading1Char">
    <w:name w:val="Heading 1 Char"/>
    <w:basedOn w:val="DefaultParagraphFont"/>
    <w:link w:val="Heading1"/>
    <w:rsid w:val="00792597"/>
    <w:rPr>
      <w:rFonts w:ascii="Times New Roman" w:eastAsia="Times New Roman" w:hAnsi="Times New Roman" w:cs="Times New Roman"/>
      <w:b/>
      <w:sz w:val="32"/>
      <w:szCs w:val="20"/>
      <w:lang w:eastAsia="en-US"/>
    </w:rPr>
  </w:style>
  <w:style w:type="paragraph" w:styleId="BodyText">
    <w:name w:val="Body Text"/>
    <w:basedOn w:val="Normal"/>
    <w:link w:val="BodyTextChar"/>
    <w:rsid w:val="00792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597"/>
    <w:rPr>
      <w:rFonts w:ascii="Times New Roman" w:eastAsia="Times New Roman" w:hAnsi="Times New Roman" w:cs="Times New Roman"/>
      <w:sz w:val="24"/>
      <w:lang w:val="en-US" w:eastAsia="en-US"/>
    </w:rPr>
  </w:style>
  <w:style w:type="paragraph" w:styleId="Footer">
    <w:name w:val="footer"/>
    <w:basedOn w:val="Normal"/>
    <w:link w:val="FooterChar"/>
    <w:rsid w:val="00792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59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92597"/>
    <w:rPr>
      <w:b/>
      <w:spacing w:val="0"/>
    </w:rPr>
  </w:style>
  <w:style w:type="paragraph" w:styleId="Header">
    <w:name w:val="header"/>
    <w:basedOn w:val="Normal"/>
    <w:link w:val="HeaderChar"/>
    <w:rsid w:val="00792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5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597"/>
    <w:pPr>
      <w:spacing w:before="240" w:after="120"/>
      <w:outlineLvl w:val="0"/>
    </w:pPr>
    <w:rPr>
      <w:rFonts w:ascii="Times New Roman" w:hAnsi="Times New Roman"/>
      <w:b/>
      <w:sz w:val="28"/>
    </w:rPr>
  </w:style>
  <w:style w:type="paragraph" w:customStyle="1" w:styleId="AllowPageBreak">
    <w:name w:val="AllowPageBreak"/>
    <w:rsid w:val="00792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5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5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597"/>
    <w:rPr>
      <w:rFonts w:ascii="Courier New" w:eastAsia="Times New Roman" w:hAnsi="Courier New" w:cs="Times New Roman"/>
      <w:i/>
      <w:szCs w:val="20"/>
      <w:lang w:val="en-US" w:eastAsia="en-US"/>
    </w:rPr>
  </w:style>
  <w:style w:type="paragraph" w:customStyle="1" w:styleId="HeadingBase">
    <w:name w:val="Heading Base"/>
    <w:rsid w:val="00792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597"/>
    <w:pPr>
      <w:tabs>
        <w:tab w:val="right" w:leader="dot" w:pos="9072"/>
      </w:tabs>
      <w:ind w:left="567"/>
    </w:pPr>
    <w:rPr>
      <w:szCs w:val="22"/>
    </w:rPr>
  </w:style>
  <w:style w:type="paragraph" w:customStyle="1" w:styleId="TOCBase">
    <w:name w:val="TOC Base"/>
    <w:rsid w:val="00792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597"/>
    <w:pPr>
      <w:tabs>
        <w:tab w:val="right" w:leader="dot" w:pos="9072"/>
      </w:tabs>
      <w:spacing w:before="40" w:after="40"/>
      <w:ind w:left="284"/>
    </w:pPr>
    <w:rPr>
      <w:rFonts w:ascii="Times New Roman" w:hAnsi="Times New Roman"/>
    </w:rPr>
  </w:style>
  <w:style w:type="paragraph" w:styleId="TOC1">
    <w:name w:val="toc 1"/>
    <w:basedOn w:val="TOCBase"/>
    <w:next w:val="Normal"/>
    <w:rsid w:val="00792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597"/>
    <w:pPr>
      <w:spacing w:before="5040"/>
      <w:jc w:val="center"/>
    </w:pPr>
    <w:rPr>
      <w:sz w:val="48"/>
      <w:szCs w:val="72"/>
      <w:lang w:val="en-US"/>
    </w:rPr>
  </w:style>
  <w:style w:type="character" w:customStyle="1" w:styleId="TitleChar">
    <w:name w:val="Title Char"/>
    <w:basedOn w:val="DefaultParagraphFont"/>
    <w:link w:val="Title"/>
    <w:rsid w:val="00792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597"/>
    <w:pPr>
      <w:tabs>
        <w:tab w:val="left" w:pos="3600"/>
        <w:tab w:val="left" w:pos="3958"/>
      </w:tabs>
    </w:pPr>
  </w:style>
  <w:style w:type="paragraph" w:styleId="List">
    <w:name w:val="List"/>
    <w:basedOn w:val="BodyText"/>
    <w:next w:val="BodyText"/>
    <w:rsid w:val="00792597"/>
    <w:pPr>
      <w:tabs>
        <w:tab w:val="left" w:pos="340"/>
      </w:tabs>
      <w:spacing w:before="60" w:after="60"/>
      <w:ind w:left="340" w:hanging="340"/>
    </w:pPr>
  </w:style>
  <w:style w:type="paragraph" w:styleId="ListBullet">
    <w:name w:val="List Bullet"/>
    <w:basedOn w:val="List"/>
    <w:rsid w:val="00792597"/>
    <w:pPr>
      <w:numPr>
        <w:numId w:val="11"/>
      </w:numPr>
      <w:tabs>
        <w:tab w:val="clear" w:pos="340"/>
      </w:tabs>
      <w:spacing w:before="40" w:after="40"/>
    </w:pPr>
  </w:style>
  <w:style w:type="paragraph" w:customStyle="1" w:styleId="Note">
    <w:name w:val="Note"/>
    <w:basedOn w:val="BodyText"/>
    <w:rsid w:val="00792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597"/>
    <w:pPr>
      <w:framePr w:wrap="auto" w:hAnchor="text" w:y="6049"/>
    </w:pPr>
    <w:rPr>
      <w:color w:val="000000"/>
      <w:sz w:val="40"/>
    </w:rPr>
  </w:style>
  <w:style w:type="paragraph" w:customStyle="1" w:styleId="TOCTitle">
    <w:name w:val="TOCTitle"/>
    <w:basedOn w:val="Heading1"/>
    <w:rsid w:val="00792597"/>
    <w:pPr>
      <w:spacing w:after="240"/>
      <w:jc w:val="center"/>
      <w:outlineLvl w:val="9"/>
    </w:pPr>
    <w:rPr>
      <w:caps/>
    </w:rPr>
  </w:style>
  <w:style w:type="paragraph" w:customStyle="1" w:styleId="Version">
    <w:name w:val="Version"/>
    <w:rsid w:val="00792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597"/>
    <w:pPr>
      <w:numPr>
        <w:numId w:val="12"/>
      </w:numPr>
      <w:tabs>
        <w:tab w:val="clear" w:pos="680"/>
      </w:tabs>
    </w:pPr>
  </w:style>
  <w:style w:type="paragraph" w:styleId="Index1">
    <w:name w:val="index 1"/>
    <w:basedOn w:val="Normal"/>
    <w:next w:val="Normal"/>
    <w:semiHidden/>
    <w:rsid w:val="00792597"/>
    <w:pPr>
      <w:keepNext w:val="0"/>
      <w:tabs>
        <w:tab w:val="right" w:pos="4176"/>
      </w:tabs>
      <w:ind w:left="198" w:hanging="198"/>
    </w:pPr>
    <w:rPr>
      <w:rFonts w:ascii="Garamond" w:hAnsi="Garamond"/>
    </w:rPr>
  </w:style>
  <w:style w:type="paragraph" w:styleId="IndexHeading">
    <w:name w:val="index heading"/>
    <w:basedOn w:val="Normal"/>
    <w:next w:val="Index1"/>
    <w:semiHidden/>
    <w:rsid w:val="00792597"/>
    <w:pPr>
      <w:spacing w:before="120" w:after="120"/>
    </w:pPr>
    <w:rPr>
      <w:rFonts w:ascii="Arial" w:hAnsi="Arial"/>
      <w:b/>
      <w:color w:val="918585"/>
      <w:sz w:val="24"/>
    </w:rPr>
  </w:style>
  <w:style w:type="paragraph" w:customStyle="1" w:styleId="Chapter">
    <w:name w:val="Chapter"/>
    <w:basedOn w:val="Normal"/>
    <w:rsid w:val="00792597"/>
    <w:pPr>
      <w:spacing w:before="240"/>
    </w:pPr>
    <w:rPr>
      <w:rFonts w:ascii="Times New Roman" w:hAnsi="Times New Roman"/>
      <w:smallCaps/>
      <w:spacing w:val="80"/>
      <w:sz w:val="28"/>
    </w:rPr>
  </w:style>
  <w:style w:type="paragraph" w:customStyle="1" w:styleId="InChapter">
    <w:name w:val="InChapter"/>
    <w:basedOn w:val="Heading3"/>
    <w:rsid w:val="00792597"/>
    <w:pPr>
      <w:spacing w:after="240"/>
      <w:outlineLvl w:val="9"/>
    </w:pPr>
    <w:rPr>
      <w:noProof/>
    </w:rPr>
  </w:style>
  <w:style w:type="paragraph" w:styleId="Index2">
    <w:name w:val="index 2"/>
    <w:basedOn w:val="Normal"/>
    <w:next w:val="Normal"/>
    <w:semiHidden/>
    <w:rsid w:val="00792597"/>
    <w:pPr>
      <w:tabs>
        <w:tab w:val="right" w:pos="4176"/>
      </w:tabs>
      <w:ind w:left="568" w:hanging="284"/>
    </w:pPr>
    <w:rPr>
      <w:rFonts w:ascii="Garamond" w:hAnsi="Garamond"/>
    </w:rPr>
  </w:style>
  <w:style w:type="paragraph" w:customStyle="1" w:styleId="Byline">
    <w:name w:val="Byline"/>
    <w:rsid w:val="00792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597"/>
    <w:pPr>
      <w:tabs>
        <w:tab w:val="clear" w:pos="3600"/>
        <w:tab w:val="clear" w:pos="3958"/>
      </w:tabs>
      <w:jc w:val="right"/>
    </w:pPr>
  </w:style>
  <w:style w:type="character" w:styleId="Emphasis">
    <w:name w:val="Emphasis"/>
    <w:basedOn w:val="DefaultParagraphFont"/>
    <w:qFormat/>
    <w:rsid w:val="00792597"/>
    <w:rPr>
      <w:i/>
    </w:rPr>
  </w:style>
  <w:style w:type="paragraph" w:styleId="Caption">
    <w:name w:val="caption"/>
    <w:basedOn w:val="BodyText"/>
    <w:next w:val="Normal"/>
    <w:qFormat/>
    <w:rsid w:val="00792597"/>
    <w:pPr>
      <w:framePr w:w="2268" w:hSpace="181" w:vSpace="181" w:wrap="around" w:vAnchor="text" w:hAnchor="page" w:x="1135" w:y="285" w:anchorLock="1"/>
    </w:pPr>
    <w:rPr>
      <w:i/>
    </w:rPr>
  </w:style>
  <w:style w:type="paragraph" w:customStyle="1" w:styleId="MiniTOCTitle">
    <w:name w:val="MiniTOCTitle"/>
    <w:basedOn w:val="Heading4"/>
    <w:rsid w:val="00792597"/>
    <w:pPr>
      <w:spacing w:before="240"/>
      <w:outlineLvl w:val="9"/>
    </w:pPr>
    <w:rPr>
      <w:noProof/>
      <w:sz w:val="24"/>
    </w:rPr>
  </w:style>
  <w:style w:type="paragraph" w:customStyle="1" w:styleId="MiniTOCItem">
    <w:name w:val="MiniTOCItem"/>
    <w:basedOn w:val="ListBullet"/>
    <w:rsid w:val="00792597"/>
    <w:pPr>
      <w:numPr>
        <w:numId w:val="0"/>
      </w:numPr>
      <w:tabs>
        <w:tab w:val="right" w:leader="dot" w:pos="6521"/>
      </w:tabs>
      <w:spacing w:before="0" w:after="0"/>
    </w:pPr>
  </w:style>
  <w:style w:type="paragraph" w:customStyle="1" w:styleId="TOFTitle">
    <w:name w:val="TOFTitle"/>
    <w:basedOn w:val="TOCTitle"/>
    <w:rsid w:val="00792597"/>
  </w:style>
  <w:style w:type="paragraph" w:styleId="TableofFigures">
    <w:name w:val="table of figures"/>
    <w:basedOn w:val="Normal"/>
    <w:next w:val="Normal"/>
    <w:semiHidden/>
    <w:rsid w:val="00792597"/>
    <w:pPr>
      <w:tabs>
        <w:tab w:val="right" w:leader="dot" w:pos="9072"/>
      </w:tabs>
      <w:ind w:left="970" w:hanging="403"/>
    </w:pPr>
    <w:rPr>
      <w:rFonts w:ascii="Times New Roman" w:hAnsi="Times New Roman"/>
      <w:b/>
    </w:rPr>
  </w:style>
  <w:style w:type="paragraph" w:styleId="ListNumber">
    <w:name w:val="List Number"/>
    <w:basedOn w:val="List"/>
    <w:rsid w:val="00792597"/>
    <w:pPr>
      <w:numPr>
        <w:numId w:val="9"/>
      </w:numPr>
    </w:pPr>
  </w:style>
  <w:style w:type="character" w:customStyle="1" w:styleId="WingdingSymbols">
    <w:name w:val="Wingding Symbols"/>
    <w:rsid w:val="00792597"/>
    <w:rPr>
      <w:rFonts w:ascii="Wingdings" w:hAnsi="Wingdings"/>
    </w:rPr>
  </w:style>
  <w:style w:type="paragraph" w:customStyle="1" w:styleId="TableHeading">
    <w:name w:val="Table Heading"/>
    <w:basedOn w:val="HeadingBase"/>
    <w:rsid w:val="00792597"/>
    <w:pPr>
      <w:keepLines/>
      <w:pBdr>
        <w:bottom w:val="single" w:sz="6" w:space="1" w:color="918585"/>
      </w:pBdr>
      <w:spacing w:before="240"/>
    </w:pPr>
  </w:style>
  <w:style w:type="character" w:customStyle="1" w:styleId="HotSpot">
    <w:name w:val="HotSpot"/>
    <w:rsid w:val="00792597"/>
    <w:rPr>
      <w:color w:val="0033CC"/>
      <w:u w:val="none"/>
    </w:rPr>
  </w:style>
  <w:style w:type="paragraph" w:customStyle="1" w:styleId="BodyTextRight">
    <w:name w:val="Body Text Right"/>
    <w:basedOn w:val="BodyText"/>
    <w:rsid w:val="00792597"/>
    <w:pPr>
      <w:spacing w:before="0" w:after="0"/>
      <w:jc w:val="right"/>
    </w:pPr>
  </w:style>
  <w:style w:type="paragraph" w:styleId="Index3">
    <w:name w:val="index 3"/>
    <w:basedOn w:val="ListNumber2"/>
    <w:next w:val="Normal"/>
    <w:semiHidden/>
    <w:rsid w:val="00792597"/>
    <w:pPr>
      <w:numPr>
        <w:numId w:val="0"/>
      </w:numPr>
      <w:tabs>
        <w:tab w:val="right" w:leader="dot" w:pos="4176"/>
      </w:tabs>
    </w:pPr>
  </w:style>
  <w:style w:type="paragraph" w:styleId="ListNumber2">
    <w:name w:val="List Number 2"/>
    <w:basedOn w:val="List2"/>
    <w:rsid w:val="00792597"/>
    <w:pPr>
      <w:numPr>
        <w:numId w:val="8"/>
      </w:numPr>
      <w:tabs>
        <w:tab w:val="clear" w:pos="1060"/>
      </w:tabs>
    </w:pPr>
  </w:style>
  <w:style w:type="paragraph" w:customStyle="1" w:styleId="MarginNote">
    <w:name w:val="Margin Note"/>
    <w:basedOn w:val="BodyText"/>
    <w:rsid w:val="00792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5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597"/>
    <w:rPr>
      <w:sz w:val="32"/>
    </w:rPr>
  </w:style>
  <w:style w:type="paragraph" w:customStyle="1" w:styleId="HeadingProcedure">
    <w:name w:val="Heading Procedure"/>
    <w:basedOn w:val="HeadingBase"/>
    <w:next w:val="Normal"/>
    <w:rsid w:val="00792597"/>
    <w:pPr>
      <w:tabs>
        <w:tab w:val="left" w:pos="0"/>
      </w:tabs>
      <w:spacing w:before="120" w:after="60"/>
    </w:pPr>
    <w:rPr>
      <w:i/>
      <w:color w:val="918585"/>
      <w:sz w:val="22"/>
    </w:rPr>
  </w:style>
  <w:style w:type="paragraph" w:customStyle="1" w:styleId="TableBodyText">
    <w:name w:val="Table Body Text"/>
    <w:basedOn w:val="BodyText"/>
    <w:rsid w:val="00792597"/>
    <w:pPr>
      <w:spacing w:before="60" w:after="60"/>
    </w:pPr>
  </w:style>
  <w:style w:type="paragraph" w:styleId="ListContinue">
    <w:name w:val="List Continue"/>
    <w:basedOn w:val="List"/>
    <w:rsid w:val="00792597"/>
    <w:pPr>
      <w:ind w:firstLine="0"/>
    </w:pPr>
  </w:style>
  <w:style w:type="paragraph" w:customStyle="1" w:styleId="ListNote">
    <w:name w:val="List Note"/>
    <w:basedOn w:val="List"/>
    <w:rsid w:val="00792597"/>
    <w:pPr>
      <w:pBdr>
        <w:top w:val="single" w:sz="6" w:space="2" w:color="918585"/>
        <w:bottom w:val="single" w:sz="6" w:space="2" w:color="918585"/>
      </w:pBdr>
      <w:tabs>
        <w:tab w:val="left" w:pos="1021"/>
      </w:tabs>
      <w:ind w:firstLine="0"/>
    </w:pPr>
  </w:style>
  <w:style w:type="paragraph" w:customStyle="1" w:styleId="Warning">
    <w:name w:val="Warning"/>
    <w:basedOn w:val="BodyText"/>
    <w:rsid w:val="00792597"/>
    <w:pPr>
      <w:shd w:val="clear" w:color="auto" w:fill="D9D9D9"/>
      <w:tabs>
        <w:tab w:val="left" w:pos="992"/>
      </w:tabs>
      <w:ind w:left="119" w:right="119"/>
    </w:pPr>
    <w:rPr>
      <w:sz w:val="20"/>
    </w:rPr>
  </w:style>
  <w:style w:type="paragraph" w:customStyle="1" w:styleId="MarginIcons">
    <w:name w:val="Margin Icons"/>
    <w:basedOn w:val="BodyText"/>
    <w:rsid w:val="00792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597"/>
    <w:rPr>
      <w:rFonts w:ascii="Courier New" w:hAnsi="Courier New"/>
    </w:rPr>
  </w:style>
  <w:style w:type="paragraph" w:customStyle="1" w:styleId="NoteBullet">
    <w:name w:val="Note Bullet"/>
    <w:basedOn w:val="Note"/>
    <w:rsid w:val="00792597"/>
    <w:pPr>
      <w:tabs>
        <w:tab w:val="clear" w:pos="680"/>
      </w:tabs>
      <w:spacing w:before="60" w:after="60"/>
    </w:pPr>
  </w:style>
  <w:style w:type="paragraph" w:customStyle="1" w:styleId="SubHeading2">
    <w:name w:val="SubHeading2"/>
    <w:basedOn w:val="HeadingBase"/>
    <w:rsid w:val="00792597"/>
    <w:pPr>
      <w:spacing w:before="240" w:after="60"/>
    </w:pPr>
    <w:rPr>
      <w:sz w:val="20"/>
    </w:rPr>
  </w:style>
  <w:style w:type="paragraph" w:customStyle="1" w:styleId="SubHeading1">
    <w:name w:val="SubHeading1"/>
    <w:basedOn w:val="HeadingBase"/>
    <w:rsid w:val="00792597"/>
    <w:pPr>
      <w:spacing w:before="240" w:after="60"/>
    </w:pPr>
    <w:rPr>
      <w:color w:val="918585"/>
      <w:sz w:val="22"/>
    </w:rPr>
  </w:style>
  <w:style w:type="paragraph" w:customStyle="1" w:styleId="SideHeading">
    <w:name w:val="Side Heading"/>
    <w:basedOn w:val="HeadingBase"/>
    <w:rsid w:val="00792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597"/>
    <w:pPr>
      <w:numPr>
        <w:numId w:val="10"/>
      </w:numPr>
    </w:pPr>
  </w:style>
  <w:style w:type="paragraph" w:styleId="PlainText">
    <w:name w:val="Plain Text"/>
    <w:basedOn w:val="Normal"/>
    <w:link w:val="PlainTextChar"/>
    <w:rsid w:val="00792597"/>
    <w:rPr>
      <w:sz w:val="20"/>
    </w:rPr>
  </w:style>
  <w:style w:type="character" w:customStyle="1" w:styleId="PlainTextChar">
    <w:name w:val="Plain Text Char"/>
    <w:basedOn w:val="DefaultParagraphFont"/>
    <w:link w:val="PlainText"/>
    <w:rsid w:val="007925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2597"/>
    <w:rPr>
      <w:b/>
      <w:smallCaps/>
    </w:rPr>
  </w:style>
  <w:style w:type="paragraph" w:customStyle="1" w:styleId="TableListNumber">
    <w:name w:val="Table List Number"/>
    <w:basedOn w:val="ListNumber"/>
    <w:rsid w:val="00792597"/>
    <w:pPr>
      <w:numPr>
        <w:numId w:val="0"/>
      </w:numPr>
    </w:pPr>
  </w:style>
  <w:style w:type="paragraph" w:styleId="TOC4">
    <w:name w:val="toc 4"/>
    <w:basedOn w:val="TOCBase"/>
    <w:next w:val="Normal"/>
    <w:semiHidden/>
    <w:rsid w:val="00792597"/>
    <w:pPr>
      <w:tabs>
        <w:tab w:val="right" w:leader="dot" w:pos="9071"/>
      </w:tabs>
      <w:ind w:left="1701"/>
    </w:pPr>
  </w:style>
  <w:style w:type="paragraph" w:customStyle="1" w:styleId="ListAlpha">
    <w:name w:val="List Alpha"/>
    <w:basedOn w:val="List"/>
    <w:rsid w:val="00792597"/>
    <w:pPr>
      <w:numPr>
        <w:numId w:val="7"/>
      </w:numPr>
    </w:pPr>
  </w:style>
  <w:style w:type="paragraph" w:customStyle="1" w:styleId="ListAlpha2">
    <w:name w:val="List Alpha 2"/>
    <w:basedOn w:val="List2"/>
    <w:rsid w:val="00792597"/>
    <w:pPr>
      <w:numPr>
        <w:numId w:val="6"/>
      </w:numPr>
    </w:pPr>
  </w:style>
  <w:style w:type="paragraph" w:styleId="List2">
    <w:name w:val="List 2"/>
    <w:basedOn w:val="BodyText"/>
    <w:rsid w:val="00792597"/>
    <w:pPr>
      <w:tabs>
        <w:tab w:val="left" w:pos="680"/>
      </w:tabs>
      <w:spacing w:before="60" w:after="60"/>
      <w:ind w:left="680" w:hanging="340"/>
    </w:pPr>
  </w:style>
  <w:style w:type="paragraph" w:styleId="List3">
    <w:name w:val="List 3"/>
    <w:basedOn w:val="BodyText"/>
    <w:rsid w:val="00792597"/>
    <w:pPr>
      <w:tabs>
        <w:tab w:val="left" w:pos="1021"/>
      </w:tabs>
      <w:spacing w:before="60" w:after="60"/>
      <w:ind w:left="1020" w:hanging="340"/>
    </w:pPr>
  </w:style>
  <w:style w:type="paragraph" w:styleId="List4">
    <w:name w:val="List 4"/>
    <w:basedOn w:val="BodyText"/>
    <w:rsid w:val="00792597"/>
    <w:pPr>
      <w:tabs>
        <w:tab w:val="left" w:pos="1361"/>
      </w:tabs>
      <w:spacing w:before="60" w:after="60"/>
      <w:ind w:left="1361" w:hanging="340"/>
    </w:pPr>
  </w:style>
  <w:style w:type="paragraph" w:styleId="List5">
    <w:name w:val="List 5"/>
    <w:basedOn w:val="BodyText"/>
    <w:rsid w:val="00792597"/>
    <w:pPr>
      <w:tabs>
        <w:tab w:val="left" w:pos="1701"/>
      </w:tabs>
      <w:spacing w:before="60" w:after="60"/>
      <w:ind w:left="1701" w:hanging="340"/>
    </w:pPr>
  </w:style>
  <w:style w:type="paragraph" w:styleId="ListBullet3">
    <w:name w:val="List Bullet 3"/>
    <w:basedOn w:val="List3"/>
    <w:rsid w:val="00792597"/>
    <w:pPr>
      <w:numPr>
        <w:numId w:val="13"/>
      </w:numPr>
      <w:tabs>
        <w:tab w:val="clear" w:pos="1021"/>
      </w:tabs>
      <w:ind w:left="1037" w:hanging="357"/>
    </w:pPr>
  </w:style>
  <w:style w:type="paragraph" w:styleId="ListBullet4">
    <w:name w:val="List Bullet 4"/>
    <w:basedOn w:val="List4"/>
    <w:rsid w:val="00792597"/>
    <w:pPr>
      <w:numPr>
        <w:numId w:val="1"/>
      </w:numPr>
    </w:pPr>
  </w:style>
  <w:style w:type="paragraph" w:styleId="ListBullet5">
    <w:name w:val="List Bullet 5"/>
    <w:basedOn w:val="List5"/>
    <w:rsid w:val="00792597"/>
    <w:pPr>
      <w:numPr>
        <w:numId w:val="2"/>
      </w:numPr>
    </w:pPr>
  </w:style>
  <w:style w:type="paragraph" w:styleId="ListContinue2">
    <w:name w:val="List Continue 2"/>
    <w:basedOn w:val="List2"/>
    <w:rsid w:val="00792597"/>
    <w:pPr>
      <w:ind w:firstLine="0"/>
    </w:pPr>
  </w:style>
  <w:style w:type="paragraph" w:styleId="ListContinue3">
    <w:name w:val="List Continue 3"/>
    <w:basedOn w:val="List3"/>
    <w:rsid w:val="00792597"/>
    <w:pPr>
      <w:ind w:left="1021" w:firstLine="0"/>
    </w:pPr>
  </w:style>
  <w:style w:type="paragraph" w:styleId="ListContinue4">
    <w:name w:val="List Continue 4"/>
    <w:basedOn w:val="List4"/>
    <w:rsid w:val="00792597"/>
    <w:pPr>
      <w:ind w:firstLine="0"/>
    </w:pPr>
  </w:style>
  <w:style w:type="paragraph" w:styleId="ListContinue5">
    <w:name w:val="List Continue 5"/>
    <w:basedOn w:val="List5"/>
    <w:rsid w:val="00792597"/>
    <w:pPr>
      <w:ind w:firstLine="0"/>
    </w:pPr>
  </w:style>
  <w:style w:type="paragraph" w:styleId="ListNumber3">
    <w:name w:val="List Number 3"/>
    <w:basedOn w:val="List3"/>
    <w:rsid w:val="00792597"/>
    <w:pPr>
      <w:numPr>
        <w:numId w:val="3"/>
      </w:numPr>
    </w:pPr>
  </w:style>
  <w:style w:type="paragraph" w:styleId="ListNumber4">
    <w:name w:val="List Number 4"/>
    <w:basedOn w:val="List4"/>
    <w:rsid w:val="00792597"/>
    <w:pPr>
      <w:numPr>
        <w:numId w:val="4"/>
      </w:numPr>
    </w:pPr>
  </w:style>
  <w:style w:type="paragraph" w:styleId="ListNumber5">
    <w:name w:val="List Number 5"/>
    <w:basedOn w:val="List5"/>
    <w:rsid w:val="00792597"/>
    <w:pPr>
      <w:numPr>
        <w:numId w:val="5"/>
      </w:numPr>
    </w:pPr>
  </w:style>
  <w:style w:type="paragraph" w:styleId="BlockText">
    <w:name w:val="Block Text"/>
    <w:basedOn w:val="Normal"/>
    <w:rsid w:val="00792597"/>
    <w:pPr>
      <w:spacing w:after="120"/>
      <w:ind w:left="1440" w:right="1440"/>
    </w:pPr>
  </w:style>
  <w:style w:type="character" w:customStyle="1" w:styleId="Subscript">
    <w:name w:val="Subscript"/>
    <w:basedOn w:val="DefaultParagraphFont"/>
    <w:rsid w:val="00792597"/>
    <w:rPr>
      <w:sz w:val="16"/>
      <w:vertAlign w:val="subscript"/>
    </w:rPr>
  </w:style>
  <w:style w:type="character" w:customStyle="1" w:styleId="Superscript">
    <w:name w:val="Superscript"/>
    <w:basedOn w:val="DefaultParagraphFont"/>
    <w:rsid w:val="00792597"/>
    <w:rPr>
      <w:sz w:val="16"/>
      <w:vertAlign w:val="superscript"/>
    </w:rPr>
  </w:style>
  <w:style w:type="character" w:customStyle="1" w:styleId="Symbols">
    <w:name w:val="Symbols"/>
    <w:basedOn w:val="DefaultParagraphFont"/>
    <w:rsid w:val="00792597"/>
    <w:rPr>
      <w:rFonts w:ascii="Symbol" w:hAnsi="Symbol"/>
    </w:rPr>
  </w:style>
  <w:style w:type="character" w:customStyle="1" w:styleId="MenuOptions">
    <w:name w:val="Menu Options"/>
    <w:basedOn w:val="DefaultParagraphFont"/>
    <w:rsid w:val="00792597"/>
    <w:rPr>
      <w:rFonts w:ascii="Arial Narrow" w:hAnsi="Arial Narrow"/>
      <w:smallCaps/>
    </w:rPr>
  </w:style>
  <w:style w:type="character" w:customStyle="1" w:styleId="Buttons">
    <w:name w:val="Buttons"/>
    <w:basedOn w:val="DefaultParagraphFont"/>
    <w:rsid w:val="00792597"/>
    <w:rPr>
      <w:b/>
    </w:rPr>
  </w:style>
  <w:style w:type="character" w:customStyle="1" w:styleId="Underlined">
    <w:name w:val="Underlined"/>
    <w:basedOn w:val="DefaultParagraphFont"/>
    <w:rsid w:val="00792597"/>
    <w:rPr>
      <w:u w:val="single"/>
    </w:rPr>
  </w:style>
  <w:style w:type="paragraph" w:customStyle="1" w:styleId="TableBodyTextRight">
    <w:name w:val="Table Body Text Right"/>
    <w:basedOn w:val="TableBodyText"/>
    <w:rsid w:val="00792597"/>
    <w:pPr>
      <w:widowControl w:val="0"/>
      <w:autoSpaceDE w:val="0"/>
      <w:autoSpaceDN w:val="0"/>
      <w:adjustRightInd w:val="0"/>
      <w:jc w:val="right"/>
    </w:pPr>
    <w:rPr>
      <w:rFonts w:cs="Arial"/>
      <w:szCs w:val="18"/>
    </w:rPr>
  </w:style>
  <w:style w:type="paragraph" w:customStyle="1" w:styleId="CopyrightText">
    <w:name w:val="Copyright Text"/>
    <w:basedOn w:val="BodyText"/>
    <w:rsid w:val="00792597"/>
    <w:rPr>
      <w:sz w:val="18"/>
    </w:rPr>
  </w:style>
  <w:style w:type="paragraph" w:customStyle="1" w:styleId="BodySmallRight">
    <w:name w:val="Body Small Right"/>
    <w:basedOn w:val="BodyTextRight"/>
    <w:rsid w:val="00792597"/>
    <w:rPr>
      <w:sz w:val="18"/>
      <w:szCs w:val="18"/>
    </w:rPr>
  </w:style>
  <w:style w:type="paragraph" w:customStyle="1" w:styleId="MarginEdition">
    <w:name w:val="Margin Edition"/>
    <w:basedOn w:val="MarginNote"/>
    <w:rsid w:val="00792597"/>
    <w:pPr>
      <w:spacing w:before="0" w:after="0"/>
    </w:pPr>
    <w:rPr>
      <w:rFonts w:ascii="Times New Roman" w:hAnsi="Times New Roman"/>
      <w:color w:val="999999"/>
    </w:rPr>
  </w:style>
  <w:style w:type="paragraph" w:customStyle="1" w:styleId="Spacer">
    <w:name w:val="Spacer"/>
    <w:basedOn w:val="Normal"/>
    <w:rsid w:val="00792597"/>
    <w:rPr>
      <w:sz w:val="2"/>
      <w:szCs w:val="2"/>
    </w:rPr>
  </w:style>
  <w:style w:type="character" w:customStyle="1" w:styleId="Small">
    <w:name w:val="Small"/>
    <w:basedOn w:val="DefaultParagraphFont"/>
    <w:rsid w:val="00792597"/>
    <w:rPr>
      <w:sz w:val="16"/>
    </w:rPr>
  </w:style>
  <w:style w:type="paragraph" w:customStyle="1" w:styleId="WideTable">
    <w:name w:val="Wide Table"/>
    <w:basedOn w:val="Normal"/>
    <w:rsid w:val="00792597"/>
    <w:pPr>
      <w:ind w:left="-1418"/>
    </w:pPr>
    <w:rPr>
      <w:sz w:val="2"/>
      <w:szCs w:val="2"/>
    </w:rPr>
  </w:style>
  <w:style w:type="character" w:styleId="PageNumber">
    <w:name w:val="page number"/>
    <w:basedOn w:val="DefaultParagraphFont"/>
    <w:rsid w:val="00792597"/>
  </w:style>
  <w:style w:type="paragraph" w:styleId="Quote">
    <w:name w:val="Quote"/>
    <w:basedOn w:val="Heading1"/>
    <w:link w:val="QuoteChar"/>
    <w:qFormat/>
    <w:rsid w:val="00792597"/>
    <w:rPr>
      <w:b w:val="0"/>
      <w:sz w:val="72"/>
      <w:szCs w:val="72"/>
      <w:lang w:val="en-NZ"/>
    </w:rPr>
  </w:style>
  <w:style w:type="character" w:customStyle="1" w:styleId="QuoteChar">
    <w:name w:val="Quote Char"/>
    <w:basedOn w:val="DefaultParagraphFont"/>
    <w:link w:val="Quote"/>
    <w:rsid w:val="00792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597"/>
    <w:pPr>
      <w:pageBreakBefore/>
    </w:pPr>
  </w:style>
  <w:style w:type="paragraph" w:customStyle="1" w:styleId="Border">
    <w:name w:val="Border"/>
    <w:basedOn w:val="Normal"/>
    <w:qFormat/>
    <w:rsid w:val="00792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597"/>
    <w:rPr>
      <w:b/>
      <w:bCs/>
      <w:i/>
      <w:iCs/>
      <w:color w:val="auto"/>
    </w:rPr>
  </w:style>
  <w:style w:type="paragraph" w:styleId="IntenseQuote">
    <w:name w:val="Intense Quote"/>
    <w:basedOn w:val="Normal"/>
    <w:next w:val="Normal"/>
    <w:link w:val="IntenseQuoteChar"/>
    <w:uiPriority w:val="30"/>
    <w:qFormat/>
    <w:rsid w:val="00792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5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2597"/>
    <w:rPr>
      <w:smallCaps/>
      <w:color w:val="auto"/>
      <w:u w:val="single"/>
    </w:rPr>
  </w:style>
  <w:style w:type="character" w:styleId="IntenseReference">
    <w:name w:val="Intense Reference"/>
    <w:basedOn w:val="DefaultParagraphFont"/>
    <w:uiPriority w:val="32"/>
    <w:qFormat/>
    <w:rsid w:val="00792597"/>
    <w:rPr>
      <w:b/>
      <w:bCs/>
      <w:smallCaps/>
      <w:color w:val="auto"/>
      <w:spacing w:val="5"/>
      <w:u w:val="single"/>
    </w:rPr>
  </w:style>
  <w:style w:type="paragraph" w:customStyle="1" w:styleId="2ColumnHeading">
    <w:name w:val="2Column Heading"/>
    <w:basedOn w:val="BodyText"/>
    <w:qFormat/>
    <w:rsid w:val="00792597"/>
    <w:pPr>
      <w:spacing w:after="60"/>
      <w:ind w:left="-2268"/>
    </w:pPr>
    <w:rPr>
      <w:b/>
    </w:rPr>
  </w:style>
  <w:style w:type="paragraph" w:customStyle="1" w:styleId="Heading1TOC">
    <w:name w:val="Heading1 TOC"/>
    <w:basedOn w:val="Normal"/>
    <w:qFormat/>
    <w:rsid w:val="00792597"/>
    <w:pPr>
      <w:spacing w:before="240" w:after="120"/>
    </w:pPr>
    <w:rPr>
      <w:rFonts w:ascii="Times New Roman" w:hAnsi="Times New Roman"/>
      <w:b/>
      <w:sz w:val="32"/>
    </w:rPr>
  </w:style>
  <w:style w:type="paragraph" w:customStyle="1" w:styleId="Heading2TOC">
    <w:name w:val="Heading2 TOC"/>
    <w:basedOn w:val="Normal"/>
    <w:qFormat/>
    <w:rsid w:val="00792597"/>
    <w:pPr>
      <w:spacing w:before="240" w:after="60"/>
    </w:pPr>
    <w:rPr>
      <w:rFonts w:ascii="Times New Roman" w:hAnsi="Times New Roman"/>
      <w:b/>
      <w:sz w:val="28"/>
    </w:rPr>
  </w:style>
  <w:style w:type="character" w:customStyle="1" w:styleId="Underline">
    <w:name w:val="Underline"/>
    <w:basedOn w:val="DefaultParagraphFont"/>
    <w:qFormat/>
    <w:rsid w:val="00792597"/>
    <w:rPr>
      <w:u w:val="single"/>
    </w:rPr>
  </w:style>
  <w:style w:type="character" w:customStyle="1" w:styleId="BoldandItalics">
    <w:name w:val="Bold and Italics"/>
    <w:qFormat/>
    <w:rsid w:val="00792597"/>
    <w:rPr>
      <w:b/>
      <w:i/>
      <w:u w:val="none"/>
    </w:rPr>
  </w:style>
  <w:style w:type="paragraph" w:styleId="BalloonText">
    <w:name w:val="Balloon Text"/>
    <w:basedOn w:val="Normal"/>
    <w:link w:val="BalloonTextChar"/>
    <w:rsid w:val="00792597"/>
    <w:rPr>
      <w:rFonts w:ascii="Tahoma" w:hAnsi="Tahoma" w:cs="Tahoma"/>
      <w:sz w:val="16"/>
      <w:szCs w:val="16"/>
    </w:rPr>
  </w:style>
  <w:style w:type="character" w:customStyle="1" w:styleId="BalloonTextChar">
    <w:name w:val="Balloon Text Char"/>
    <w:basedOn w:val="DefaultParagraphFont"/>
    <w:link w:val="BalloonText"/>
    <w:rsid w:val="007925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5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8265</Characters>
  <Application>Microsoft Office Word</Application>
  <DocSecurity>0</DocSecurity>
  <Lines>303</Lines>
  <Paragraphs>113</Paragraphs>
  <ScaleCrop>false</ScaleCrop>
  <Company>Author-it Software Corporation Ltd.</Company>
  <LinksUpToDate>false</LinksUpToDate>
  <CharactersWithSpaces>9525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RTD4508A Protect places of cultural significance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