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A5C" w:rsidP="00683A5C">
      <w:pPr>
        <w:pStyle w:val="Title"/>
      </w:pPr>
      <w:r>
        <w:fldChar w:fldCharType="begin"/>
      </w:r>
      <w:r>
        <w:instrText xml:space="preserve"> TITLE   \* MERGEFORMAT </w:instrText>
      </w:r>
      <w:r>
        <w:fldChar w:fldCharType="separate"/>
      </w:r>
      <w:r>
        <w:t>RTC3206A Erect timber structures and features</w:t>
      </w:r>
      <w:r>
        <w:fldChar w:fldCharType="end"/>
      </w:r>
    </w:p>
    <w:p w:rsidR="00683A5C" w:rsidP="00683A5C">
      <w:pPr>
        <w:pStyle w:val="Version"/>
        <w:sectPr w:rsidSect="007F11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1EE" w:rsidP="007F11EE">
      <w:pPr>
        <w:pStyle w:val="SuperHeading"/>
      </w:pPr>
      <w:r w:rsidRPr="007F11EE">
        <w:t>RTC3206A Erect timber structures and features</w:t>
      </w:r>
    </w:p>
    <w:p w:rsidR="00000000" w:rsidRPr="007F11EE" w:rsidP="007F11EE">
      <w:pPr>
        <w:pStyle w:val="Heading1"/>
      </w:pPr>
      <w:bookmarkStart w:id="1" w:name="O_325587"/>
      <w:bookmarkEnd w:id="1"/>
      <w:r w:rsidRPr="007F11EE">
        <w:t>Modification History</w:t>
      </w:r>
    </w:p>
    <w:p w:rsidR="00000000" w:rsidRPr="007F11EE" w:rsidP="007F11EE">
      <w:pPr>
        <w:pStyle w:val="BodyText"/>
      </w:pPr>
      <w:r w:rsidRPr="007F11EE">
        <w:t>Not applicable.</w:t>
      </w:r>
    </w:p>
    <w:p w:rsidR="00000000" w:rsidRPr="007F11EE" w:rsidP="007F11EE">
      <w:pPr>
        <w:pStyle w:val="AllowPageBreak"/>
      </w:pPr>
    </w:p>
    <w:p w:rsidR="00000000" w:rsidRPr="007F11EE" w:rsidP="007F11EE">
      <w:pPr>
        <w:pStyle w:val="Heading1"/>
      </w:pPr>
      <w:bookmarkStart w:id="2" w:name="O_325586"/>
      <w:bookmarkEnd w:id="2"/>
      <w:r w:rsidRPr="007F11EE">
        <w:t>Unit Descriptor</w:t>
      </w:r>
    </w:p>
    <w:p w:rsidR="00000000" w:rsidRPr="007F11EE" w:rsidP="007F11EE">
      <w:pPr>
        <w:pStyle w:val="BodyText"/>
      </w:pPr>
      <w:r w:rsidRPr="007F11EE">
        <w:t>This competency standard covers the process of erecting timber structures and features as a component of landscape proje</w:t>
      </w:r>
      <w:r w:rsidRPr="007F11EE">
        <w:t>ct works.  These structures and features may include fences, pergolas, trellises, lattices, gazebos, small bridges, handrails, boardwalks, steps, decking, sheds, playhouses, screens, and site furniture.  The erecting of timber structures and features is li</w:t>
      </w:r>
      <w:r w:rsidRPr="007F11EE">
        <w:t>kely to be under limited supervision from others with checking only related to overall progress, and is usually done within established industry guidelines.  Some discretion and judgement may be required in the selection, assembly and securing of the timbe</w:t>
      </w:r>
      <w:r w:rsidRPr="007F11EE">
        <w:t>r components used in the structure or feature.</w:t>
      </w:r>
    </w:p>
    <w:p w:rsidR="00000000" w:rsidRPr="007F11EE" w:rsidP="007F11EE">
      <w:pPr>
        <w:pStyle w:val="BodyText"/>
      </w:pPr>
      <w:r w:rsidRPr="007F11EE">
        <w:t>This competency standard covers the process of erecting timber structures and features as a component of landscape project works.  These structures and features may include fences, pergolas, trellises, lattice</w:t>
      </w:r>
      <w:r w:rsidRPr="007F11EE">
        <w:t>s, gazebos, small bridges, handrails, boardwalks, steps, decking, sheds, playhouses, screens, and site furniture.  The erecting of timber structures and features is likely to be under limited supervision from others with checking only related to overall pr</w:t>
      </w:r>
      <w:r w:rsidRPr="007F11EE">
        <w:t>ogress, and is usually done within established industry guidelines.  Some discretion and judgement may be required in the selection, assembly and securing of the timber components used in the structure or feature.</w:t>
      </w:r>
    </w:p>
    <w:p w:rsidR="00000000" w:rsidRPr="007F11EE" w:rsidP="007F11EE">
      <w:pPr>
        <w:pStyle w:val="AllowPageBreak"/>
      </w:pPr>
    </w:p>
    <w:p w:rsidR="00000000" w:rsidRPr="007F11EE" w:rsidP="007F11EE">
      <w:pPr>
        <w:pStyle w:val="Heading1"/>
      </w:pPr>
      <w:bookmarkStart w:id="3" w:name="O_325585"/>
      <w:bookmarkEnd w:id="3"/>
      <w:r w:rsidRPr="007F11EE">
        <w:t>Application of the Unit</w:t>
      </w:r>
    </w:p>
    <w:p w:rsidR="00000000" w:rsidRPr="007F11EE" w:rsidP="007F11EE">
      <w:pPr>
        <w:pStyle w:val="BodyText"/>
      </w:pPr>
      <w:r w:rsidRPr="007F11EE">
        <w:t>N</w:t>
      </w:r>
      <w:r w:rsidRPr="007F11EE">
        <w:t>ot applicable.</w:t>
      </w:r>
    </w:p>
    <w:p w:rsidR="00000000" w:rsidRPr="007F11EE" w:rsidP="007F11EE">
      <w:pPr>
        <w:pStyle w:val="AllowPageBreak"/>
      </w:pPr>
    </w:p>
    <w:p w:rsidR="00000000" w:rsidRPr="007F11EE" w:rsidP="007F11EE">
      <w:pPr>
        <w:pStyle w:val="Heading1"/>
      </w:pPr>
      <w:bookmarkStart w:id="4" w:name="O_325584"/>
      <w:bookmarkEnd w:id="4"/>
      <w:r w:rsidRPr="007F11EE">
        <w:t>Licensing/Regulatory Information</w:t>
      </w:r>
    </w:p>
    <w:p w:rsidR="00000000" w:rsidRPr="007F11EE" w:rsidP="007F11EE">
      <w:pPr>
        <w:pStyle w:val="BodyText"/>
      </w:pPr>
      <w:r w:rsidRPr="007F11EE">
        <w:t>Not applicable.</w:t>
      </w:r>
    </w:p>
    <w:p w:rsidR="00000000" w:rsidRPr="007F11EE" w:rsidP="007F11EE">
      <w:pPr>
        <w:pStyle w:val="AllowPageBreak"/>
      </w:pPr>
    </w:p>
    <w:p w:rsidR="00000000" w:rsidRPr="007F11EE" w:rsidP="007F11EE">
      <w:pPr>
        <w:pStyle w:val="Heading1"/>
      </w:pPr>
      <w:bookmarkStart w:id="5" w:name="O_325583"/>
      <w:bookmarkEnd w:id="5"/>
      <w:r w:rsidRPr="007F11EE">
        <w:t>Pre-Requisites</w:t>
      </w:r>
    </w:p>
    <w:p w:rsidR="00000000" w:rsidRPr="007F11EE" w:rsidP="007F11EE">
      <w:pPr>
        <w:pStyle w:val="BodyText"/>
      </w:pPr>
      <w:r w:rsidRPr="007F11EE">
        <w:t>Not applicable.</w:t>
      </w:r>
    </w:p>
    <w:p w:rsidR="00000000" w:rsidRPr="007F11EE" w:rsidP="007F11EE">
      <w:pPr>
        <w:pStyle w:val="AllowPageBreak"/>
      </w:pPr>
    </w:p>
    <w:p w:rsidR="00000000" w:rsidRPr="007F11EE" w:rsidP="007F11EE">
      <w:pPr>
        <w:pStyle w:val="Heading1"/>
      </w:pPr>
      <w:bookmarkStart w:id="6" w:name="O_325582"/>
      <w:bookmarkEnd w:id="6"/>
      <w:r w:rsidRPr="007F11EE">
        <w:t>Employability Skills Information</w:t>
      </w:r>
    </w:p>
    <w:p w:rsidR="00000000" w:rsidRPr="007F11EE" w:rsidP="007F11EE">
      <w:pPr>
        <w:pStyle w:val="BodyText"/>
      </w:pPr>
      <w:r w:rsidRPr="007F11EE">
        <w:t>Not applicable.</w:t>
      </w:r>
    </w:p>
    <w:p w:rsidR="00000000" w:rsidRPr="007F11EE" w:rsidP="007F11EE">
      <w:pPr>
        <w:pStyle w:val="AllowPageBreak"/>
      </w:pPr>
    </w:p>
    <w:p w:rsidR="00000000" w:rsidRPr="007F11EE" w:rsidP="007F11EE">
      <w:pPr>
        <w:pStyle w:val="Heading1"/>
      </w:pPr>
      <w:bookmarkStart w:id="7" w:name="O_325589"/>
      <w:bookmarkEnd w:id="7"/>
      <w:r w:rsidRPr="007F11EE">
        <w:t>Elements and Performance Criteria Pre-Content</w:t>
      </w:r>
    </w:p>
    <w:p w:rsidR="00000000" w:rsidRPr="007F11EE" w:rsidP="007F11EE">
      <w:pPr>
        <w:pStyle w:val="BodyText"/>
      </w:pPr>
      <w:r w:rsidRPr="007F11EE">
        <w:t>Not applicable.</w:t>
      </w:r>
    </w:p>
    <w:p w:rsidR="00000000" w:rsidRPr="007F11EE" w:rsidP="007F11EE">
      <w:pPr>
        <w:pStyle w:val="AllowPageBreak"/>
      </w:pPr>
    </w:p>
    <w:p w:rsidR="00000000" w:rsidRPr="007F11EE" w:rsidP="007F11EE">
      <w:pPr>
        <w:pStyle w:val="Heading1"/>
      </w:pPr>
      <w:bookmarkStart w:id="8" w:name="O_325588"/>
      <w:bookmarkEnd w:id="8"/>
      <w:r w:rsidRPr="007F11E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83A5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Elements and Performance Criteria</w:t>
            </w:r>
          </w:p>
        </w:tc>
      </w:tr>
      <w:tr w:rsidTr="00683A5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Performance Criteria</w:t>
            </w:r>
          </w:p>
        </w:tc>
      </w:tr>
      <w:tr w:rsidTr="00683A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1</w:t>
            </w:r>
          </w:p>
        </w:tc>
        <w:tc>
          <w:tcPr>
            <w:tcW w:w="3000" w:type="dxa"/>
            <w:vMerge w:val="restart"/>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Plan and prepare work</w:t>
            </w: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1.1</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Plans and specifications are interpreted and clarified with the supervisor.</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1.2</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The quantity and quality of materials are checked to ensure they conform to design drawings and specifications.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1.3</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 xml:space="preserve">Tools and equipment </w:t>
            </w:r>
            <w:r w:rsidRPr="007F11EE">
              <w:t>are selected and checked for serviceability according to enterprise guidelines.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1.4</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 xml:space="preserve">OHS hazards </w:t>
            </w:r>
            <w:r w:rsidRPr="007F11EE">
              <w:t>are identified, risks assessed, and controls implemented</w:t>
            </w:r>
            <w:r w:rsidRPr="007F11EE">
              <w:rPr>
                <w:rStyle w:val="SpecialBold"/>
              </w:rPr>
              <w:t>.</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1.5</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 xml:space="preserve">Environmental implications </w:t>
            </w:r>
            <w:r w:rsidRPr="007F11EE">
              <w:t xml:space="preserve">of erecting timber structures are identified and reported to the </w:t>
            </w:r>
            <w:r w:rsidRPr="007F11EE">
              <w:t>supervisor.</w:t>
            </w:r>
          </w:p>
        </w:tc>
      </w:tr>
      <w:tr w:rsidTr="00683A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2</w:t>
            </w:r>
          </w:p>
        </w:tc>
        <w:tc>
          <w:tcPr>
            <w:tcW w:w="3000" w:type="dxa"/>
            <w:vMerge w:val="restart"/>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Prepare the site for the structure</w:t>
            </w:r>
          </w:p>
        </w:tc>
        <w:tc>
          <w:tcPr>
            <w:tcW w:w="500" w:type="dxa"/>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2.1</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 xml:space="preserve">Services </w:t>
            </w:r>
            <w:r w:rsidRPr="007F11EE">
              <w:t>are identified and located from site plans.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2.2</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The position of the structure is marked out according to design drawings and specifications.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2.3</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Profiles </w:t>
            </w:r>
            <w:r w:rsidRPr="007F11EE">
              <w:t>are established to conform to the tolerances nominated within the design drawings and specifications.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2.4</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 xml:space="preserve">Footings </w:t>
            </w:r>
            <w:r w:rsidRPr="007F11EE">
              <w:t>are excavated and prepared according to the type of structure to be erected.</w:t>
            </w:r>
          </w:p>
        </w:tc>
      </w:tr>
      <w:tr w:rsidTr="00683A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3</w:t>
            </w:r>
          </w:p>
        </w:tc>
        <w:tc>
          <w:tcPr>
            <w:tcW w:w="3000" w:type="dxa"/>
            <w:vMerge w:val="restart"/>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      Prepare and cut </w:t>
            </w:r>
            <w:r w:rsidRPr="007F11EE">
              <w:rPr>
                <w:rStyle w:val="SpecialBold"/>
              </w:rPr>
              <w:t>timber components</w:t>
            </w: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3.1</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Components are </w:t>
            </w:r>
            <w:r w:rsidRPr="007F11EE">
              <w:rPr>
                <w:rStyle w:val="SpecialBold"/>
              </w:rPr>
              <w:t xml:space="preserve">prepared </w:t>
            </w:r>
            <w:r w:rsidRPr="007F11EE">
              <w:t>for assembly to the requirements contained in the design drawings and specifications.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3.2</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The length of components and the positions of cuts and joints are marked out with a pencil according to designated specifications in design</w:t>
            </w:r>
            <w:r w:rsidRPr="007F11EE">
              <w:t xml:space="preserve"> drawings.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3.3</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 xml:space="preserve">Cutting tools </w:t>
            </w:r>
            <w:r w:rsidRPr="007F11EE">
              <w:t xml:space="preserve">are selected, used and maintained according to manufactures recommendations and </w:t>
            </w:r>
            <w:r w:rsidRPr="007F11EE">
              <w:rPr>
                <w:rStyle w:val="SpecialBold"/>
              </w:rPr>
              <w:t>OHS specifications.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3.4</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     Components are cut, checked out and drilled accurately in preparation for </w:t>
            </w:r>
            <w:r w:rsidRPr="007F11EE">
              <w:rPr>
                <w:rStyle w:val="SpecialBold"/>
              </w:rPr>
              <w:t xml:space="preserve">joining </w:t>
            </w:r>
            <w:r w:rsidRPr="007F11EE">
              <w:t>and assembly.</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3.5</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Appropriate personal protective equipment is worn.</w:t>
            </w:r>
          </w:p>
        </w:tc>
      </w:tr>
      <w:tr w:rsidTr="00683A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4</w:t>
            </w:r>
          </w:p>
        </w:tc>
        <w:tc>
          <w:tcPr>
            <w:tcW w:w="3000" w:type="dxa"/>
            <w:vMerge w:val="restart"/>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Assemble and erect structure</w:t>
            </w: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4.1</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Timber components are assembled into position and </w:t>
            </w:r>
            <w:r w:rsidRPr="007F11EE">
              <w:rPr>
                <w:rStyle w:val="SpecialBold"/>
              </w:rPr>
              <w:t xml:space="preserve">fixed </w:t>
            </w:r>
            <w:r w:rsidRPr="007F11EE">
              <w:t>into place according to design drawings and specifications.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4.2</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Remaining components are installed and fixed into position according to design drawings and specifications.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4.3</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Structure is </w:t>
            </w:r>
            <w:r w:rsidRPr="007F11EE">
              <w:rPr>
                <w:rStyle w:val="SpecialBold"/>
              </w:rPr>
              <w:t xml:space="preserve">finished off </w:t>
            </w:r>
            <w:r w:rsidRPr="007F11EE">
              <w:t>to ensure all components are secure and complete.</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4.4</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 xml:space="preserve">Coatings </w:t>
            </w:r>
            <w:r w:rsidRPr="007F11EE">
              <w:t>are applied according to specifications, manufact</w:t>
            </w:r>
            <w:r w:rsidRPr="007F11EE">
              <w:t>urers recommendations and OHS guidelines.</w:t>
            </w:r>
          </w:p>
        </w:tc>
      </w:tr>
      <w:tr w:rsidTr="00683A5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5</w:t>
            </w:r>
          </w:p>
        </w:tc>
        <w:tc>
          <w:tcPr>
            <w:tcW w:w="3000" w:type="dxa"/>
            <w:vMerge w:val="restart"/>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      Check quality of work and clean up site </w:t>
            </w: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5.1</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     Quality of finished works is given a final check to ensure the standard of the finished structure or feature is in accordance with design </w:t>
            </w:r>
            <w:r w:rsidRPr="007F11EE">
              <w:t>drawings and specifications.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5.2</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     Debris is cleaned from structure and site according to enterprise guidelines.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5.3</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     Waste material is disposed of according to OHS and environmental requirements.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5.4</w:t>
            </w:r>
          </w:p>
        </w:tc>
        <w:tc>
          <w:tcPr>
            <w:tcW w:w="51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      Unused timber is </w:t>
            </w:r>
            <w:r w:rsidRPr="007F11EE">
              <w:rPr>
                <w:rStyle w:val="SpecialBold"/>
              </w:rPr>
              <w:t xml:space="preserve">stored and stacked </w:t>
            </w:r>
            <w:r w:rsidRPr="007F11EE">
              <w:t>for future re-use according to enterprise guidelines.</w:t>
            </w:r>
          </w:p>
        </w:tc>
      </w:tr>
      <w:tr w:rsidTr="00683A5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5.5</w:t>
            </w:r>
          </w:p>
        </w:tc>
        <w:tc>
          <w:tcPr>
            <w:tcW w:w="5100" w:type="dxa"/>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 xml:space="preserve">      Tools and equipment are cleaned and stored according to enterprise guidelines and OHS requirements.</w:t>
            </w:r>
          </w:p>
        </w:tc>
      </w:tr>
    </w:tbl>
    <w:p w:rsidR="00000000" w:rsidRPr="007F11EE" w:rsidP="007F11EE">
      <w:pPr>
        <w:pStyle w:val="BodyText"/>
      </w:pPr>
    </w:p>
    <w:p w:rsidR="00000000" w:rsidRPr="007F11EE" w:rsidP="007F11EE">
      <w:pPr>
        <w:pStyle w:val="AllowPageBreak"/>
      </w:pPr>
    </w:p>
    <w:p w:rsidR="00000000" w:rsidRPr="007F11EE" w:rsidP="007F11EE">
      <w:pPr>
        <w:pStyle w:val="Heading1"/>
      </w:pPr>
      <w:bookmarkStart w:id="9" w:name="O_325581"/>
      <w:bookmarkEnd w:id="9"/>
      <w:r w:rsidRPr="007F11EE">
        <w:t>Required Skills and Knowledge</w:t>
      </w:r>
    </w:p>
    <w:p w:rsidR="00000000" w:rsidRPr="007F11EE" w:rsidP="007F11EE">
      <w:pPr>
        <w:pStyle w:val="BodyText"/>
      </w:pPr>
      <w:r w:rsidRPr="007F11EE">
        <w:t>Not applicable.</w:t>
      </w:r>
    </w:p>
    <w:p w:rsidR="00000000" w:rsidRPr="007F11EE" w:rsidP="007F11EE">
      <w:pPr>
        <w:pStyle w:val="AllowPageBreak"/>
      </w:pPr>
    </w:p>
    <w:p w:rsidR="00000000" w:rsidRPr="007F11EE" w:rsidP="007F11EE">
      <w:pPr>
        <w:pStyle w:val="Heading1"/>
      </w:pPr>
      <w:bookmarkStart w:id="10" w:name="O_325580"/>
      <w:bookmarkEnd w:id="10"/>
      <w:r w:rsidRPr="007F11EE">
        <w:t>Evidence Guide</w:t>
      </w:r>
    </w:p>
    <w:tbl>
      <w:tblPr>
        <w:tblW w:w="0" w:type="auto"/>
        <w:tblLayout w:type="fixed"/>
        <w:tblCellMar>
          <w:left w:w="62" w:type="dxa"/>
          <w:right w:w="62" w:type="dxa"/>
        </w:tblCellMar>
        <w:tblLook w:val="0000"/>
      </w:tblPr>
      <w:tblGrid>
        <w:gridCol w:w="4500"/>
        <w:gridCol w:w="4500"/>
      </w:tblGrid>
      <w:tr w:rsidTr="00683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F11EE">
            <w:pPr>
              <w:pStyle w:val="BodyText"/>
              <w:rPr>
                <w:lang w:val="en-NZ"/>
              </w:rPr>
            </w:pPr>
          </w:p>
        </w:tc>
      </w:tr>
      <w:tr w:rsidTr="00683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rPr>
                <w:rStyle w:val="SpecialBold"/>
              </w:rPr>
              <w:t>What evidence is required to demonstrate competence for this standard as a whole</w:t>
            </w:r>
            <w:r w:rsidRPr="007F11EE">
              <w:t>?</w:t>
            </w:r>
          </w:p>
          <w:p w:rsidR="00000000" w:rsidP="007F11EE">
            <w:pPr>
              <w:pStyle w:val="BodyText"/>
              <w:rPr>
                <w:lang w:val="en-NZ"/>
              </w:rPr>
            </w:pPr>
            <w:r w:rsidRPr="007F11EE">
              <w:t xml:space="preserve">Competence in erecting timber structures and features requires evidence that the work can be planned and prepared for, that the structure site can be marked out according to design drawings and specifications, and that the structure or feature can then be </w:t>
            </w:r>
            <w:r w:rsidRPr="007F11EE">
              <w:t xml:space="preserve">assembled, erected and finished off according to the required standards.  The skills and knowledge required to erect timber structures and features must be </w:t>
            </w:r>
            <w:r w:rsidRPr="007F11EE">
              <w:rPr>
                <w:rStyle w:val="SpecialBold"/>
              </w:rPr>
              <w:t>transferable</w:t>
            </w:r>
            <w:r w:rsidRPr="007F11EE">
              <w:t xml:space="preserve"> to a different work environment.  For example, this could include different timber stru</w:t>
            </w:r>
            <w:r w:rsidRPr="007F11EE">
              <w:t xml:space="preserve">ctures, timbers, locations, environments and work conditions. </w:t>
            </w:r>
          </w:p>
        </w:tc>
      </w:tr>
      <w:tr w:rsidTr="00683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F11EE">
            <w:pPr>
              <w:pStyle w:val="BodyText"/>
              <w:rPr>
                <w:lang w:val="en-NZ"/>
              </w:rPr>
            </w:pP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What specific knowledge is needed to achieve the performance criteria</w:t>
            </w:r>
            <w:r w:rsidRPr="007F11EE">
              <w:t>?</w:t>
            </w:r>
          </w:p>
        </w:tc>
        <w:tc>
          <w:tcPr>
            <w:tcW w:w="4500" w:type="dxa"/>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Knowledge and understanding are essential to apply this standard in the workplace, to transfer the skills to other</w:t>
            </w:r>
            <w:r w:rsidRPr="007F11EE">
              <w:t xml:space="preserve"> contexts and to deal with unplanned events.  The knowledge requirements for this competency standard are listed below:    </w:t>
            </w:r>
          </w:p>
          <w:p w:rsidR="00000000" w:rsidRPr="007F11EE" w:rsidP="007F11EE">
            <w:pPr>
              <w:pStyle w:val="BodyText"/>
            </w:pPr>
            <w:r w:rsidRPr="007F11EE">
              <w:t>Levelling principles and techniques.</w:t>
            </w:r>
          </w:p>
          <w:p w:rsidR="00000000" w:rsidRPr="007F11EE" w:rsidP="007F11EE">
            <w:pPr>
              <w:pStyle w:val="BodyText"/>
            </w:pPr>
            <w:r w:rsidRPr="007F11EE">
              <w:t>Timber properties and characteristics.</w:t>
            </w:r>
          </w:p>
          <w:p w:rsidR="00000000" w:rsidRPr="007F11EE" w:rsidP="007F11EE">
            <w:pPr>
              <w:pStyle w:val="BodyText"/>
            </w:pPr>
            <w:r w:rsidRPr="007F11EE">
              <w:t>Common timber joints.</w:t>
            </w:r>
          </w:p>
          <w:p w:rsidR="00000000" w:rsidRPr="007F11EE" w:rsidP="007F11EE">
            <w:pPr>
              <w:pStyle w:val="BodyText"/>
            </w:pPr>
            <w:r w:rsidRPr="007F11EE">
              <w:t>Timber fixing methods and product.</w:t>
            </w:r>
          </w:p>
          <w:p w:rsidR="00000000" w:rsidRPr="007F11EE" w:rsidP="007F11EE">
            <w:pPr>
              <w:pStyle w:val="BodyText"/>
            </w:pPr>
            <w:r w:rsidRPr="007F11EE">
              <w:t>Footings and their construction used for timber structures.</w:t>
            </w:r>
          </w:p>
          <w:p w:rsidR="00000000" w:rsidRPr="007F11EE" w:rsidP="007F11EE">
            <w:pPr>
              <w:pStyle w:val="BodyText"/>
            </w:pPr>
            <w:r w:rsidRPr="007F11EE">
              <w:t>OHS requirements associated with erecting structures and features.</w:t>
            </w:r>
          </w:p>
          <w:p w:rsidR="00000000" w:rsidP="007F11EE">
            <w:pPr>
              <w:pStyle w:val="BodyText"/>
              <w:rPr>
                <w:lang w:val="en-NZ"/>
              </w:rPr>
            </w:pPr>
            <w:r w:rsidRPr="007F11EE">
              <w:t xml:space="preserve">Environmental implications associated with excavation and construction activity.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rPr>
                <w:rStyle w:val="SpecialBold"/>
              </w:rPr>
              <w:t>What specific skills are needed to achieve the performance criteria</w:t>
            </w:r>
            <w:r w:rsidRPr="007F11EE">
              <w:t xml:space="preserve">? </w:t>
            </w:r>
          </w:p>
        </w:tc>
        <w:tc>
          <w:tcPr>
            <w:tcW w:w="4500" w:type="dxa"/>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 xml:space="preserve">To achieve the performance criteria, appropriate literacy and numeracy levels as well as some complementary skills are required.  These include the ability to:    </w:t>
            </w:r>
          </w:p>
          <w:p w:rsidR="00000000" w:rsidRPr="007F11EE" w:rsidP="007F11EE">
            <w:pPr>
              <w:pStyle w:val="BodyText"/>
            </w:pPr>
            <w:r w:rsidRPr="007F11EE">
              <w:t>Interpret design drawi</w:t>
            </w:r>
            <w:r w:rsidRPr="007F11EE">
              <w:t>ngs and specifications.</w:t>
            </w:r>
          </w:p>
          <w:p w:rsidR="00000000" w:rsidRPr="007F11EE" w:rsidP="007F11EE">
            <w:pPr>
              <w:pStyle w:val="BodyText"/>
            </w:pPr>
            <w:r w:rsidRPr="007F11EE">
              <w:t>Measure and mark lengths of timber accurately.</w:t>
            </w:r>
          </w:p>
          <w:p w:rsidR="00000000" w:rsidRPr="007F11EE" w:rsidP="007F11EE">
            <w:pPr>
              <w:pStyle w:val="BodyText"/>
            </w:pPr>
            <w:r w:rsidRPr="007F11EE">
              <w:t>Join timbers using a variety of recognised methods.</w:t>
            </w:r>
          </w:p>
          <w:p w:rsidR="00000000" w:rsidRPr="007F11EE" w:rsidP="007F11EE">
            <w:pPr>
              <w:pStyle w:val="BodyText"/>
            </w:pPr>
            <w:r w:rsidRPr="007F11EE">
              <w:t>Use some surveyors instruments.</w:t>
            </w:r>
          </w:p>
          <w:p w:rsidR="00000000" w:rsidRPr="007F11EE" w:rsidP="007F11EE">
            <w:pPr>
              <w:pStyle w:val="BodyText"/>
            </w:pPr>
            <w:r w:rsidRPr="007F11EE">
              <w:t>Use hand and power tools according to OHS requirements.</w:t>
            </w:r>
          </w:p>
          <w:p w:rsidR="00000000" w:rsidP="007F11EE">
            <w:pPr>
              <w:pStyle w:val="BodyText"/>
              <w:rPr>
                <w:lang w:val="en-NZ"/>
              </w:rPr>
            </w:pPr>
            <w:r w:rsidRPr="007F11EE">
              <w:t xml:space="preserve">Demonstrate safe working practices.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p>
        </w:tc>
      </w:tr>
      <w:tr w:rsidTr="00683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rPr>
                <w:rStyle w:val="SpecialBold"/>
              </w:rPr>
              <w:t>W</w:t>
            </w:r>
            <w:r w:rsidRPr="007F11EE">
              <w:rPr>
                <w:rStyle w:val="SpecialBold"/>
              </w:rPr>
              <w:t>hat processes should be applied to this competency standard</w:t>
            </w:r>
            <w:r w:rsidRPr="007F11EE">
              <w:t>?</w:t>
            </w:r>
          </w:p>
          <w:p w:rsidR="00000000" w:rsidP="007F11EE">
            <w:pPr>
              <w:pStyle w:val="BodyText"/>
              <w:rPr>
                <w:lang w:val="en-NZ"/>
              </w:rPr>
            </w:pPr>
            <w:r w:rsidRPr="007F11EE">
              <w:t>There are a number of processes that are learnt throughout work and life, which are required in all jobs.  They are fundamental proce</w:t>
            </w:r>
            <w:r w:rsidRPr="007F11EE">
              <w:t xml:space="preserve">sses and generally transferable to other work functions.  Some of these are covered by the </w:t>
            </w:r>
            <w:r w:rsidRPr="007F11EE">
              <w:rPr>
                <w:rStyle w:val="SpecialBold"/>
              </w:rPr>
              <w:t>key competencies</w:t>
            </w:r>
            <w:r w:rsidRPr="007F11EE">
              <w:t xml:space="preserve">, although others may be added.  The questions below highlight how these processes are applied in this competency standard.  Following each question </w:t>
            </w:r>
            <w:r w:rsidRPr="007F11EE">
              <w:t xml:space="preserve">a number in brackets indicates the level to which the key competency needs to be demonstrated where 0 = not required, 1 = perform the process, 2 = perform and administer the process and 3 = perform, administer and design the process.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1. How can </w:t>
            </w:r>
            <w:r w:rsidRPr="007F11EE">
              <w:rPr>
                <w:rStyle w:val="SpecialBold"/>
              </w:rPr>
              <w:t>communic</w:t>
            </w:r>
            <w:r w:rsidRPr="007F11EE">
              <w:rPr>
                <w:rStyle w:val="SpecialBold"/>
              </w:rPr>
              <w:t>ation of ideas and information</w:t>
            </w:r>
            <w:r w:rsidRPr="007F11EE">
              <w:t xml:space="preserve"> (</w:t>
            </w:r>
            <w:r w:rsidRPr="007F11EE">
              <w:rPr>
                <w:rStyle w:val="SpecialBold"/>
              </w:rPr>
              <w:t>2</w:t>
            </w:r>
            <w:r w:rsidRPr="007F11E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Information regarding timber selection may need to be discussed with suppliers, the client and other members of the work team.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2. How can </w:t>
            </w:r>
            <w:r w:rsidRPr="007F11EE">
              <w:rPr>
                <w:rStyle w:val="SpecialBold"/>
              </w:rPr>
              <w:t>information be collected</w:t>
            </w:r>
            <w:r w:rsidRPr="007F11EE">
              <w:t xml:space="preserve">, </w:t>
            </w:r>
            <w:r w:rsidRPr="007F11EE">
              <w:rPr>
                <w:rStyle w:val="SpecialBold"/>
              </w:rPr>
              <w:t>analysed and organised</w:t>
            </w:r>
            <w:r w:rsidRPr="007F11EE">
              <w:t xml:space="preserve"> (</w:t>
            </w:r>
            <w:r w:rsidRPr="007F11EE">
              <w:rPr>
                <w:rStyle w:val="SpecialBold"/>
              </w:rPr>
              <w:t>2</w:t>
            </w:r>
            <w:r w:rsidRPr="007F11EE">
              <w:t xml:space="preserve">)?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The information on design drawings, specifications and site plans may need to be collected, analysed and then transferred to site.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3. How are </w:t>
            </w:r>
            <w:r w:rsidRPr="007F11EE">
              <w:rPr>
                <w:rStyle w:val="SpecialBold"/>
              </w:rPr>
              <w:t>activities planned and organised</w:t>
            </w:r>
            <w:r w:rsidRPr="007F11EE">
              <w:t xml:space="preserve"> (</w:t>
            </w:r>
            <w:r w:rsidRPr="007F11EE">
              <w:rPr>
                <w:rStyle w:val="SpecialBold"/>
              </w:rPr>
              <w:t>2</w:t>
            </w:r>
            <w:r w:rsidRPr="007F11EE">
              <w:t xml:space="preserve">)?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Activities on the work site may need to be planned and organised to ensur</w:t>
            </w:r>
            <w:r w:rsidRPr="007F11EE">
              <w:t xml:space="preserve">e efficient use of time and resources.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4. How can </w:t>
            </w:r>
            <w:r w:rsidRPr="007F11EE">
              <w:rPr>
                <w:rStyle w:val="SpecialBold"/>
              </w:rPr>
              <w:t>team work</w:t>
            </w:r>
            <w:r w:rsidRPr="007F11EE">
              <w:t xml:space="preserve"> (</w:t>
            </w:r>
            <w:r w:rsidRPr="007F11EE">
              <w:rPr>
                <w:rStyle w:val="SpecialBold"/>
              </w:rPr>
              <w:t>2</w:t>
            </w:r>
            <w:r w:rsidRPr="007F11E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Team work may be required when assembling and erecting timber structures and features.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5. How can the use of </w:t>
            </w:r>
            <w:r w:rsidRPr="007F11EE">
              <w:rPr>
                <w:rStyle w:val="SpecialBold"/>
              </w:rPr>
              <w:t>mathematical ideas and techniques</w:t>
            </w:r>
            <w:r w:rsidRPr="007F11EE">
              <w:t xml:space="preserve"> (</w:t>
            </w:r>
            <w:r w:rsidRPr="007F11EE">
              <w:rPr>
                <w:rStyle w:val="SpecialBold"/>
              </w:rPr>
              <w:t>2</w:t>
            </w:r>
            <w:r w:rsidRPr="007F11E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Mathematical te</w:t>
            </w:r>
            <w:r w:rsidRPr="007F11EE">
              <w:t xml:space="preserve">chniques may be applied when calculating lengths of timber and marking out cuts and joints.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6. How can </w:t>
            </w:r>
            <w:r w:rsidRPr="007F11EE">
              <w:rPr>
                <w:rStyle w:val="SpecialBold"/>
              </w:rPr>
              <w:t>problem</w:t>
            </w:r>
            <w:r w:rsidRPr="007F11EE">
              <w:t>-</w:t>
            </w:r>
            <w:r w:rsidRPr="007F11EE">
              <w:rPr>
                <w:rStyle w:val="SpecialBold"/>
              </w:rPr>
              <w:t>solving skills</w:t>
            </w:r>
            <w:r w:rsidRPr="007F11EE">
              <w:t xml:space="preserve"> (</w:t>
            </w:r>
            <w:r w:rsidRPr="007F11EE">
              <w:rPr>
                <w:rStyle w:val="SpecialBold"/>
              </w:rPr>
              <w:t>2</w:t>
            </w:r>
            <w:r w:rsidRPr="007F11E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Problems may arise if calculations of timber lengths are inaccurate.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7. How can the </w:t>
            </w:r>
            <w:r w:rsidRPr="007F11EE">
              <w:rPr>
                <w:rStyle w:val="SpecialBold"/>
              </w:rPr>
              <w:t>use of technology</w:t>
            </w:r>
            <w:r w:rsidRPr="007F11EE">
              <w:t xml:space="preserve"> (</w:t>
            </w:r>
            <w:r w:rsidRPr="007F11EE">
              <w:rPr>
                <w:rStyle w:val="SpecialBold"/>
              </w:rPr>
              <w:t>2</w:t>
            </w:r>
            <w:r w:rsidRPr="007F11E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The use of technology may be applied when using levelling equipment to mark out the structure site.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p>
        </w:tc>
      </w:tr>
      <w:tr w:rsidTr="00683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rPr>
                <w:rStyle w:val="SpecialBold"/>
              </w:rPr>
              <w:t>Are there other competency standards that could be assessed with this one</w:t>
            </w:r>
            <w:r w:rsidRPr="007F11EE">
              <w:t>?</w:t>
            </w:r>
          </w:p>
          <w:p w:rsidR="00000000" w:rsidP="007F11EE">
            <w:pPr>
              <w:pStyle w:val="BodyText"/>
              <w:rPr>
                <w:lang w:val="en-NZ"/>
              </w:rPr>
            </w:pPr>
            <w:r w:rsidRPr="007F11EE">
              <w:t xml:space="preserve">This competency standard </w:t>
            </w:r>
            <w:r w:rsidRPr="007F11EE">
              <w:rPr>
                <w:rStyle w:val="SpecialBold"/>
              </w:rPr>
              <w:t>could</w:t>
            </w:r>
            <w:r w:rsidRPr="007F11EE">
              <w:t xml:space="preserve"> be assessed on its own or i</w:t>
            </w:r>
            <w:r w:rsidRPr="007F11EE">
              <w:t xml:space="preserve">n combination with other competencies relevant to the job function. </w:t>
            </w:r>
          </w:p>
        </w:tc>
      </w:tr>
      <w:tr w:rsidTr="00683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F11EE">
            <w:pPr>
              <w:pStyle w:val="BodyText"/>
              <w:rPr>
                <w:lang w:val="en-NZ"/>
              </w:rPr>
            </w:pPr>
          </w:p>
        </w:tc>
      </w:tr>
      <w:tr w:rsidTr="00683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t xml:space="preserve">There is essential information about </w:t>
            </w:r>
            <w:r w:rsidRPr="007F11EE">
              <w:rPr>
                <w:rStyle w:val="SpecialBold"/>
              </w:rPr>
              <w:t>assessing this competency standard for consistent performance</w:t>
            </w:r>
            <w:r w:rsidRPr="007F11EE">
              <w:t xml:space="preserve"> and </w:t>
            </w:r>
            <w:r w:rsidRPr="007F11EE">
              <w:rPr>
                <w:rStyle w:val="SpecialBold"/>
              </w:rPr>
              <w:t>where and how it may be assessed</w:t>
            </w:r>
            <w:r w:rsidRPr="007F11EE">
              <w:t xml:space="preserve">, in the Assessment Guidelines for this Training Package.  All users of these competency standards must have </w:t>
            </w:r>
            <w:r w:rsidRPr="007F11EE">
              <w:rPr>
                <w:rStyle w:val="SpecialBold"/>
              </w:rPr>
              <w:t>access</w:t>
            </w:r>
            <w:r w:rsidRPr="007F11EE">
              <w:t xml:space="preserve"> to both the </w:t>
            </w:r>
            <w:r w:rsidRPr="007F11EE">
              <w:rPr>
                <w:rStyle w:val="SpecialBold"/>
              </w:rPr>
              <w:t>Assessment Guidelines</w:t>
            </w:r>
            <w:r w:rsidRPr="007F11EE">
              <w:t xml:space="preserve"> and the relevant </w:t>
            </w:r>
            <w:r w:rsidRPr="007F11EE">
              <w:rPr>
                <w:rStyle w:val="SpecialBold"/>
              </w:rPr>
              <w:t>Sector Booklet</w:t>
            </w:r>
            <w:r w:rsidRPr="007F11EE">
              <w:t xml:space="preserve">. </w:t>
            </w:r>
          </w:p>
        </w:tc>
      </w:tr>
    </w:tbl>
    <w:p w:rsidR="00000000" w:rsidRPr="007F11EE" w:rsidP="007F11EE">
      <w:pPr>
        <w:pStyle w:val="BodyText"/>
      </w:pPr>
    </w:p>
    <w:p w:rsidR="00000000" w:rsidRPr="007F11EE" w:rsidP="007F11EE">
      <w:pPr>
        <w:pStyle w:val="AllowPageBreak"/>
      </w:pPr>
    </w:p>
    <w:p w:rsidR="00000000" w:rsidRPr="007F11EE" w:rsidP="007F11EE">
      <w:pPr>
        <w:pStyle w:val="Heading1"/>
      </w:pPr>
      <w:bookmarkStart w:id="11" w:name="O_325579"/>
      <w:bookmarkEnd w:id="11"/>
      <w:r w:rsidRPr="007F11EE">
        <w:t>Range Statement</w:t>
      </w:r>
    </w:p>
    <w:tbl>
      <w:tblPr>
        <w:tblW w:w="0" w:type="auto"/>
        <w:tblLayout w:type="fixed"/>
        <w:tblCellMar>
          <w:left w:w="62" w:type="dxa"/>
          <w:right w:w="62" w:type="dxa"/>
        </w:tblCellMar>
        <w:tblLook w:val="0000"/>
      </w:tblPr>
      <w:tblGrid>
        <w:gridCol w:w="4500"/>
        <w:gridCol w:w="4500"/>
      </w:tblGrid>
      <w:tr w:rsidTr="00683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F11EE" w:rsidP="007F11EE">
            <w:pPr>
              <w:pStyle w:val="BodyText"/>
            </w:pPr>
            <w:r w:rsidRPr="007F11EE">
              <w:rPr>
                <w:rStyle w:val="SpecialBold"/>
              </w:rPr>
              <w:t>Range of Variables</w:t>
            </w:r>
          </w:p>
          <w:p w:rsidR="00000000" w:rsidP="007F11EE">
            <w:pPr>
              <w:pStyle w:val="BodyText"/>
              <w:rPr>
                <w:lang w:val="en-NZ"/>
              </w:rPr>
            </w:pPr>
            <w:r w:rsidRPr="007F11EE">
              <w:t>The Range of Vari</w:t>
            </w:r>
            <w:r w:rsidRPr="007F11EE">
              <w:t>ables explains the contexts within which the performance and knowledge requirements of this standard may be assessed.  The scope of variables chosen in particular training and assessment requirements may depend on the work situations available</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What </w:t>
            </w:r>
            <w:r w:rsidRPr="007F11EE">
              <w:rPr>
                <w:rStyle w:val="SpecialBold"/>
              </w:rPr>
              <w:t>tools</w:t>
            </w:r>
            <w:r w:rsidRPr="007F11EE">
              <w:rPr>
                <w:rStyle w:val="SpecialBold"/>
              </w:rPr>
              <w:t xml:space="preserve"> and equipment</w:t>
            </w:r>
            <w:r w:rsidRPr="007F11EE">
              <w:t xml:space="preserve"> are likely to be used when erecting timber structures and features?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Tools and equipment may include levelling equipment, ladders, guy ropes, string lines, tape measures, marking gauges, spades, shovels, crow bars, chisels, hammers, spanners</w:t>
            </w:r>
            <w:r w:rsidRPr="007F11EE">
              <w:t xml:space="preserve">, nails, nail punches, planes, clamps, power tools such as electric drills and saws, handsaws, sanding blocks, paint brushes and putty knives.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What </w:t>
            </w:r>
            <w:r w:rsidRPr="007F11EE">
              <w:rPr>
                <w:rStyle w:val="SpecialBold"/>
              </w:rPr>
              <w:t>OHS hazards</w:t>
            </w:r>
            <w:r w:rsidRPr="007F11EE">
              <w:t xml:space="preserve"> apply to this standard?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OHS hazards may include manual lifting, use of power tools, use of sharp hand tools, dust, sun exposure, working at heights, falling objects, overhead powerlines, and contact with treated timber.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What </w:t>
            </w:r>
            <w:r w:rsidRPr="007F11EE">
              <w:rPr>
                <w:rStyle w:val="SpecialBold"/>
              </w:rPr>
              <w:t>environmental implications</w:t>
            </w:r>
            <w:r w:rsidRPr="007F11EE">
              <w:t xml:space="preserve"> are likely to be considere</w:t>
            </w:r>
            <w:r w:rsidRPr="007F11EE">
              <w:t xml:space="preserve">d?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Consideration may be given to the impact of soil disturbance and the alteration to water flow during construction, and after the structure or feature has been erected, use and disposable of treated timbers.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What </w:t>
            </w:r>
            <w:r w:rsidRPr="007F11EE">
              <w:rPr>
                <w:rStyle w:val="SpecialBold"/>
              </w:rPr>
              <w:t>services</w:t>
            </w:r>
            <w:r w:rsidRPr="007F11EE">
              <w:t xml:space="preserve"> are likely to be located on s</w:t>
            </w:r>
            <w:r w:rsidRPr="007F11EE">
              <w:t xml:space="preserve">ite?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Services may include power, gas, water, stormwater, sewerage or septic connections, phone and optical cables.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What types of </w:t>
            </w:r>
            <w:r w:rsidRPr="007F11EE">
              <w:rPr>
                <w:rStyle w:val="SpecialBold"/>
              </w:rPr>
              <w:t>footings</w:t>
            </w:r>
            <w:r w:rsidRPr="007F11EE">
              <w:t xml:space="preserve"> are likely to be prepared for timber structures and features?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Footings may be concrete or in some case rammed eart</w:t>
            </w:r>
            <w:r w:rsidRPr="007F11EE">
              <w:t>h.   The depth of footings and timing of footing installation may vary according to the type of structure to be erected.  Some structures (e.g., fences) need the post and footing installed at the beginning, others may be supported by bracing during assembl</w:t>
            </w:r>
            <w:r w:rsidRPr="007F11EE">
              <w:t xml:space="preserve">y and when complete, the footings are filled.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What </w:t>
            </w:r>
            <w:r w:rsidRPr="007F11EE">
              <w:rPr>
                <w:rStyle w:val="SpecialBold"/>
              </w:rPr>
              <w:t>timber components</w:t>
            </w:r>
            <w:r w:rsidRPr="007F11EE">
              <w:t xml:space="preserve"> are likely to be included in a timber structure or feature?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Timber components may include beams, rafters, joists, battens, slats, rails and planks.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How is the timber likely to be </w:t>
            </w:r>
            <w:r w:rsidRPr="007F11EE">
              <w:rPr>
                <w:rStyle w:val="SpecialBold"/>
              </w:rPr>
              <w:t>pre</w:t>
            </w:r>
            <w:r w:rsidRPr="007F11EE">
              <w:rPr>
                <w:rStyle w:val="SpecialBold"/>
              </w:rPr>
              <w:t>pared</w:t>
            </w:r>
            <w:r w:rsidRPr="007F11EE">
              <w:t xml:space="preserve"> before assembly?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Timber preparation may include planing arising from the identification of knots.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What </w:t>
            </w:r>
            <w:r w:rsidRPr="007F11EE">
              <w:rPr>
                <w:rStyle w:val="SpecialBold"/>
              </w:rPr>
              <w:t>cutting tools</w:t>
            </w:r>
            <w:r w:rsidRPr="007F11EE">
              <w:t xml:space="preserve"> are likely to be used?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Cutting tools may include handsaws, electric saws and chisels.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What </w:t>
            </w:r>
            <w:r w:rsidRPr="007F11EE">
              <w:rPr>
                <w:rStyle w:val="SpecialBold"/>
              </w:rPr>
              <w:t>OHS specifications</w:t>
            </w:r>
            <w:r w:rsidRPr="007F11EE">
              <w:t xml:space="preserve"> may be included f</w:t>
            </w:r>
            <w:r w:rsidRPr="007F11EE">
              <w:t xml:space="preserve">or the use of power tools?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OHS specifications may include routine pre-start checks such as cleaning air filters, blades, brakes, safety bars, nuts, bolts and screws, and the operating of power tools according to manufacturers recommendations including cor</w:t>
            </w:r>
            <w:r w:rsidRPr="007F11EE">
              <w:t xml:space="preserve">rect handling, guards, electrical safety, the wearing of protective clothing, regular servicing, and safe storage when not in use.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What methods are likely to be used for </w:t>
            </w:r>
            <w:r w:rsidRPr="007F11EE">
              <w:rPr>
                <w:rStyle w:val="SpecialBold"/>
              </w:rPr>
              <w:t>joining</w:t>
            </w:r>
            <w:r w:rsidRPr="007F11EE">
              <w:t xml:space="preserve"> timber?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Timber joints may include corner halving, tee halving, bevelled tee halving, stopped halving, cross halving, halved scarf, through dovetail halving and stopped dovetail halving.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How can timber components be </w:t>
            </w:r>
            <w:r w:rsidRPr="007F11EE">
              <w:rPr>
                <w:rStyle w:val="SpecialBold"/>
              </w:rPr>
              <w:t>fixed</w:t>
            </w:r>
            <w:r w:rsidRPr="007F11EE">
              <w:t xml:space="preserve"> into place?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Timber fixing methods may in</w:t>
            </w:r>
            <w:r w:rsidRPr="007F11EE">
              <w:t xml:space="preserve">clude galvanised plates, saddles, nails, cup head bolts, coach screws, dyna bolts, timber glues or other fasteners.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How can a structure or feature be </w:t>
            </w:r>
            <w:r w:rsidRPr="007F11EE">
              <w:rPr>
                <w:rStyle w:val="SpecialBold"/>
              </w:rPr>
              <w:t>finished off</w:t>
            </w:r>
            <w:r w:rsidRPr="007F11EE">
              <w:t xml:space="preserve"> to ensure completeness and security of components?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Finishing off may include the cutting o</w:t>
            </w:r>
            <w:r w:rsidRPr="007F11EE">
              <w:t xml:space="preserve">ff of overhangs, sanding, and the plugging of holes and any other cosmetic work that may be required.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What </w:t>
            </w:r>
            <w:r w:rsidRPr="007F11EE">
              <w:rPr>
                <w:rStyle w:val="SpecialBold"/>
              </w:rPr>
              <w:t>coatings</w:t>
            </w:r>
            <w:r w:rsidRPr="007F11EE">
              <w:t xml:space="preserve"> are likely to be applied to timber structures and features?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Coatings may include paint, varnishes and lacquers. </w:t>
            </w:r>
          </w:p>
        </w:tc>
      </w:tr>
      <w:tr w:rsidTr="00683A5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How is unused timber li</w:t>
            </w:r>
            <w:r w:rsidRPr="007F11EE">
              <w:t xml:space="preserve">kely to be </w:t>
            </w:r>
            <w:r w:rsidRPr="007F11EE">
              <w:rPr>
                <w:rStyle w:val="SpecialBold"/>
              </w:rPr>
              <w:t>stored and stacked</w:t>
            </w:r>
            <w:r w:rsidRPr="007F11EE">
              <w:t xml:space="preserve">? </w:t>
            </w:r>
          </w:p>
        </w:tc>
        <w:tc>
          <w:tcPr>
            <w:tcW w:w="4500" w:type="dxa"/>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Storing and stacking may include the use of ground sheets, chocks, waterproof covers and strapping in accordance with safe stacking procedures. </w:t>
            </w:r>
          </w:p>
        </w:tc>
      </w:tr>
      <w:tr w:rsidTr="00683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F11EE">
            <w:pPr>
              <w:pStyle w:val="BodyText"/>
              <w:rPr>
                <w:lang w:val="en-NZ"/>
              </w:rPr>
            </w:pPr>
            <w:r w:rsidRPr="007F11EE">
              <w:t xml:space="preserve">For more information on contexts, environment and variables for training and assessment, refer to the Sector Booklet. </w:t>
            </w:r>
          </w:p>
        </w:tc>
      </w:tr>
      <w:tr w:rsidTr="00683A5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F11EE" w:rsidP="007F11EE">
            <w:pPr>
              <w:pStyle w:val="BodyText"/>
            </w:pPr>
          </w:p>
        </w:tc>
      </w:tr>
    </w:tbl>
    <w:p w:rsidR="00000000" w:rsidRPr="007F11EE" w:rsidP="007F11EE">
      <w:pPr>
        <w:pStyle w:val="BodyText"/>
      </w:pPr>
    </w:p>
    <w:p w:rsidR="00000000" w:rsidRPr="007F11EE" w:rsidP="007F11EE">
      <w:pPr>
        <w:pStyle w:val="AllowPageBreak"/>
      </w:pPr>
    </w:p>
    <w:p w:rsidR="00000000" w:rsidRPr="007F11EE" w:rsidP="007F11EE">
      <w:pPr>
        <w:pStyle w:val="Heading1"/>
      </w:pPr>
      <w:bookmarkStart w:id="12" w:name="O_325578"/>
      <w:bookmarkEnd w:id="12"/>
      <w:r w:rsidRPr="007F11EE">
        <w:t>Unit Sector(s)</w:t>
      </w:r>
    </w:p>
    <w:p w:rsidR="00000000" w:rsidRPr="007F11EE" w:rsidP="007F11EE">
      <w:pPr>
        <w:pStyle w:val="BodyText"/>
      </w:pPr>
      <w:r w:rsidRPr="007F11EE">
        <w:t>Not applicable.</w:t>
      </w:r>
    </w:p>
    <w:p w:rsidR="00000000" w:rsidRPr="007F11EE" w:rsidP="007F11EE"/>
    <w:sectPr w:rsidSect="007F11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A5C" w:rsidP="00683A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5C" w:rsidP="007F1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3A5C" w:rsidP="007F11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83A5C" w:rsidP="007F11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A5C" w:rsidP="00683A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5C" w:rsidP="007F11EE">
    <w:pPr>
      <w:pStyle w:val="Header"/>
      <w:framePr w:wrap="around"/>
    </w:pPr>
    <w:r>
      <w:fldChar w:fldCharType="begin"/>
    </w:r>
    <w:r>
      <w:instrText xml:space="preserve"> TITLE   \* MERGEFORMAT </w:instrText>
    </w:r>
    <w:r>
      <w:fldChar w:fldCharType="separate"/>
    </w:r>
    <w:r>
      <w:t>RTC3206A Erect timber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3A5C" w:rsidP="007F11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1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11EE"/>
    <w:pPr>
      <w:spacing w:before="360" w:after="60"/>
      <w:outlineLvl w:val="0"/>
    </w:pPr>
    <w:rPr>
      <w:sz w:val="32"/>
    </w:rPr>
  </w:style>
  <w:style w:type="paragraph" w:styleId="Heading2">
    <w:name w:val="heading 2"/>
    <w:basedOn w:val="HeadingBase"/>
    <w:next w:val="BodyText"/>
    <w:link w:val="Heading2Char"/>
    <w:qFormat/>
    <w:rsid w:val="007F11EE"/>
    <w:pPr>
      <w:keepLines/>
      <w:spacing w:before="240" w:after="120"/>
      <w:outlineLvl w:val="1"/>
    </w:pPr>
    <w:rPr>
      <w:sz w:val="28"/>
      <w:szCs w:val="40"/>
    </w:rPr>
  </w:style>
  <w:style w:type="paragraph" w:styleId="Heading3">
    <w:name w:val="heading 3"/>
    <w:basedOn w:val="HeadingBase"/>
    <w:next w:val="BodyText"/>
    <w:link w:val="Heading3Char"/>
    <w:qFormat/>
    <w:rsid w:val="007F11EE"/>
    <w:pPr>
      <w:spacing w:before="180" w:after="120"/>
      <w:outlineLvl w:val="2"/>
    </w:pPr>
    <w:rPr>
      <w:spacing w:val="-10"/>
      <w:kern w:val="32"/>
    </w:rPr>
  </w:style>
  <w:style w:type="paragraph" w:styleId="Heading4">
    <w:name w:val="heading 4"/>
    <w:basedOn w:val="HeadingBase"/>
    <w:next w:val="BodyText"/>
    <w:link w:val="Heading4Char"/>
    <w:qFormat/>
    <w:rsid w:val="007F11EE"/>
    <w:pPr>
      <w:spacing w:before="160" w:after="120"/>
      <w:outlineLvl w:val="3"/>
    </w:pPr>
    <w:rPr>
      <w:sz w:val="22"/>
    </w:rPr>
  </w:style>
  <w:style w:type="paragraph" w:styleId="Heading5">
    <w:name w:val="heading 5"/>
    <w:basedOn w:val="HeadingBase"/>
    <w:next w:val="Normal"/>
    <w:link w:val="Heading5Char"/>
    <w:qFormat/>
    <w:rsid w:val="007F11EE"/>
    <w:pPr>
      <w:spacing w:before="80"/>
      <w:outlineLvl w:val="4"/>
    </w:pPr>
    <w:rPr>
      <w:color w:val="918585"/>
      <w:sz w:val="20"/>
    </w:rPr>
  </w:style>
  <w:style w:type="paragraph" w:styleId="Heading6">
    <w:name w:val="heading 6"/>
    <w:basedOn w:val="HeadingBase"/>
    <w:next w:val="Normal"/>
    <w:link w:val="Heading6Char"/>
    <w:qFormat/>
    <w:rsid w:val="007F11EE"/>
    <w:pPr>
      <w:spacing w:before="60"/>
      <w:outlineLvl w:val="5"/>
    </w:pPr>
    <w:rPr>
      <w:color w:val="918585"/>
      <w:sz w:val="20"/>
    </w:rPr>
  </w:style>
  <w:style w:type="paragraph" w:styleId="Heading7">
    <w:name w:val="heading 7"/>
    <w:basedOn w:val="Normal"/>
    <w:next w:val="Normal"/>
    <w:link w:val="Heading7Char"/>
    <w:qFormat/>
    <w:rsid w:val="007F11EE"/>
    <w:pPr>
      <w:ind w:left="720"/>
      <w:outlineLvl w:val="6"/>
    </w:pPr>
    <w:rPr>
      <w:i/>
    </w:rPr>
  </w:style>
  <w:style w:type="paragraph" w:styleId="Heading8">
    <w:name w:val="heading 8"/>
    <w:basedOn w:val="Normal"/>
    <w:next w:val="Normal"/>
    <w:link w:val="Heading8Char"/>
    <w:qFormat/>
    <w:rsid w:val="007F11EE"/>
    <w:pPr>
      <w:ind w:left="720"/>
      <w:outlineLvl w:val="7"/>
    </w:pPr>
    <w:rPr>
      <w:i/>
    </w:rPr>
  </w:style>
  <w:style w:type="paragraph" w:styleId="Heading9">
    <w:name w:val="heading 9"/>
    <w:basedOn w:val="Normal"/>
    <w:next w:val="Normal"/>
    <w:link w:val="Heading9Char"/>
    <w:qFormat/>
    <w:rsid w:val="007F11EE"/>
    <w:pPr>
      <w:ind w:left="720"/>
      <w:outlineLvl w:val="8"/>
    </w:pPr>
    <w:rPr>
      <w:i/>
    </w:rPr>
  </w:style>
  <w:style w:type="character" w:default="1" w:styleId="DefaultParagraphFont">
    <w:name w:val="Default Paragraph Font"/>
    <w:uiPriority w:val="1"/>
    <w:unhideWhenUsed/>
    <w:rsid w:val="007F1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1EE"/>
  </w:style>
  <w:style w:type="character" w:customStyle="1" w:styleId="Heading1Char">
    <w:name w:val="Heading 1 Char"/>
    <w:basedOn w:val="DefaultParagraphFont"/>
    <w:link w:val="Heading1"/>
    <w:rsid w:val="007F11EE"/>
    <w:rPr>
      <w:rFonts w:ascii="Times New Roman" w:eastAsia="Times New Roman" w:hAnsi="Times New Roman" w:cs="Times New Roman"/>
      <w:b/>
      <w:sz w:val="32"/>
      <w:szCs w:val="20"/>
      <w:lang w:eastAsia="en-US"/>
    </w:rPr>
  </w:style>
  <w:style w:type="paragraph" w:styleId="BodyText">
    <w:name w:val="Body Text"/>
    <w:basedOn w:val="Normal"/>
    <w:link w:val="BodyTextChar"/>
    <w:rsid w:val="007F11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11EE"/>
    <w:rPr>
      <w:rFonts w:ascii="Times New Roman" w:eastAsia="Times New Roman" w:hAnsi="Times New Roman" w:cs="Times New Roman"/>
      <w:sz w:val="24"/>
      <w:lang w:val="en-US" w:eastAsia="en-US"/>
    </w:rPr>
  </w:style>
  <w:style w:type="paragraph" w:styleId="Footer">
    <w:name w:val="footer"/>
    <w:basedOn w:val="Normal"/>
    <w:link w:val="FooterChar"/>
    <w:rsid w:val="007F1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1E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F11EE"/>
    <w:rPr>
      <w:b/>
      <w:spacing w:val="0"/>
    </w:rPr>
  </w:style>
  <w:style w:type="paragraph" w:styleId="Header">
    <w:name w:val="header"/>
    <w:basedOn w:val="Normal"/>
    <w:link w:val="HeaderChar"/>
    <w:rsid w:val="007F1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1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11EE"/>
    <w:pPr>
      <w:spacing w:before="240" w:after="120"/>
      <w:outlineLvl w:val="0"/>
    </w:pPr>
    <w:rPr>
      <w:rFonts w:ascii="Times New Roman" w:hAnsi="Times New Roman"/>
      <w:b/>
      <w:sz w:val="28"/>
    </w:rPr>
  </w:style>
  <w:style w:type="paragraph" w:customStyle="1" w:styleId="AllowPageBreak">
    <w:name w:val="AllowPageBreak"/>
    <w:rsid w:val="007F1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1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11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11EE"/>
    <w:rPr>
      <w:rFonts w:ascii="Courier New" w:eastAsia="Times New Roman" w:hAnsi="Courier New" w:cs="Times New Roman"/>
      <w:i/>
      <w:szCs w:val="20"/>
      <w:lang w:val="en-US" w:eastAsia="en-US"/>
    </w:rPr>
  </w:style>
  <w:style w:type="paragraph" w:customStyle="1" w:styleId="HeadingBase">
    <w:name w:val="Heading Base"/>
    <w:rsid w:val="007F1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1EE"/>
    <w:pPr>
      <w:tabs>
        <w:tab w:val="right" w:leader="dot" w:pos="9072"/>
      </w:tabs>
      <w:ind w:left="567"/>
    </w:pPr>
    <w:rPr>
      <w:szCs w:val="22"/>
    </w:rPr>
  </w:style>
  <w:style w:type="paragraph" w:customStyle="1" w:styleId="TOCBase">
    <w:name w:val="TOC Base"/>
    <w:rsid w:val="007F1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1EE"/>
    <w:pPr>
      <w:tabs>
        <w:tab w:val="right" w:leader="dot" w:pos="9072"/>
      </w:tabs>
      <w:spacing w:before="40" w:after="40"/>
      <w:ind w:left="284"/>
    </w:pPr>
    <w:rPr>
      <w:rFonts w:ascii="Times New Roman" w:hAnsi="Times New Roman"/>
    </w:rPr>
  </w:style>
  <w:style w:type="paragraph" w:styleId="TOC1">
    <w:name w:val="toc 1"/>
    <w:basedOn w:val="TOCBase"/>
    <w:next w:val="Normal"/>
    <w:rsid w:val="007F11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11EE"/>
    <w:pPr>
      <w:spacing w:before="5040"/>
      <w:jc w:val="center"/>
    </w:pPr>
    <w:rPr>
      <w:sz w:val="48"/>
      <w:szCs w:val="72"/>
      <w:lang w:val="en-US"/>
    </w:rPr>
  </w:style>
  <w:style w:type="character" w:customStyle="1" w:styleId="TitleChar">
    <w:name w:val="Title Char"/>
    <w:basedOn w:val="DefaultParagraphFont"/>
    <w:link w:val="Title"/>
    <w:rsid w:val="007F1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1EE"/>
    <w:pPr>
      <w:tabs>
        <w:tab w:val="left" w:pos="3600"/>
        <w:tab w:val="left" w:pos="3958"/>
      </w:tabs>
    </w:pPr>
  </w:style>
  <w:style w:type="paragraph" w:styleId="List">
    <w:name w:val="List"/>
    <w:basedOn w:val="BodyText"/>
    <w:next w:val="BodyText"/>
    <w:rsid w:val="007F11EE"/>
    <w:pPr>
      <w:tabs>
        <w:tab w:val="left" w:pos="340"/>
      </w:tabs>
      <w:spacing w:before="60" w:after="60"/>
      <w:ind w:left="340" w:hanging="340"/>
    </w:pPr>
  </w:style>
  <w:style w:type="paragraph" w:styleId="ListBullet">
    <w:name w:val="List Bullet"/>
    <w:basedOn w:val="List"/>
    <w:rsid w:val="007F11EE"/>
    <w:pPr>
      <w:numPr>
        <w:numId w:val="11"/>
      </w:numPr>
      <w:tabs>
        <w:tab w:val="clear" w:pos="340"/>
      </w:tabs>
      <w:spacing w:before="40" w:after="40"/>
    </w:pPr>
  </w:style>
  <w:style w:type="paragraph" w:customStyle="1" w:styleId="Note">
    <w:name w:val="Note"/>
    <w:basedOn w:val="BodyText"/>
    <w:rsid w:val="007F1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1EE"/>
    <w:pPr>
      <w:framePr w:wrap="auto" w:hAnchor="text" w:y="6049"/>
    </w:pPr>
    <w:rPr>
      <w:color w:val="000000"/>
      <w:sz w:val="40"/>
    </w:rPr>
  </w:style>
  <w:style w:type="paragraph" w:customStyle="1" w:styleId="TOCTitle">
    <w:name w:val="TOCTitle"/>
    <w:basedOn w:val="Heading1"/>
    <w:rsid w:val="007F11EE"/>
    <w:pPr>
      <w:spacing w:after="240"/>
      <w:jc w:val="center"/>
      <w:outlineLvl w:val="9"/>
    </w:pPr>
    <w:rPr>
      <w:caps/>
    </w:rPr>
  </w:style>
  <w:style w:type="paragraph" w:customStyle="1" w:styleId="Version">
    <w:name w:val="Version"/>
    <w:rsid w:val="007F1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11EE"/>
    <w:pPr>
      <w:numPr>
        <w:numId w:val="12"/>
      </w:numPr>
      <w:tabs>
        <w:tab w:val="clear" w:pos="680"/>
      </w:tabs>
    </w:pPr>
  </w:style>
  <w:style w:type="paragraph" w:styleId="Index1">
    <w:name w:val="index 1"/>
    <w:basedOn w:val="Normal"/>
    <w:next w:val="Normal"/>
    <w:semiHidden/>
    <w:rsid w:val="007F11EE"/>
    <w:pPr>
      <w:keepNext w:val="0"/>
      <w:tabs>
        <w:tab w:val="right" w:pos="4176"/>
      </w:tabs>
      <w:ind w:left="198" w:hanging="198"/>
    </w:pPr>
    <w:rPr>
      <w:rFonts w:ascii="Garamond" w:hAnsi="Garamond"/>
    </w:rPr>
  </w:style>
  <w:style w:type="paragraph" w:styleId="IndexHeading">
    <w:name w:val="index heading"/>
    <w:basedOn w:val="Normal"/>
    <w:next w:val="Index1"/>
    <w:semiHidden/>
    <w:rsid w:val="007F11EE"/>
    <w:pPr>
      <w:spacing w:before="120" w:after="120"/>
    </w:pPr>
    <w:rPr>
      <w:rFonts w:ascii="Arial" w:hAnsi="Arial"/>
      <w:b/>
      <w:color w:val="918585"/>
      <w:sz w:val="24"/>
    </w:rPr>
  </w:style>
  <w:style w:type="paragraph" w:customStyle="1" w:styleId="Chapter">
    <w:name w:val="Chapter"/>
    <w:basedOn w:val="Normal"/>
    <w:rsid w:val="007F11EE"/>
    <w:pPr>
      <w:spacing w:before="240"/>
    </w:pPr>
    <w:rPr>
      <w:rFonts w:ascii="Times New Roman" w:hAnsi="Times New Roman"/>
      <w:smallCaps/>
      <w:spacing w:val="80"/>
      <w:sz w:val="28"/>
    </w:rPr>
  </w:style>
  <w:style w:type="paragraph" w:customStyle="1" w:styleId="InChapter">
    <w:name w:val="InChapter"/>
    <w:basedOn w:val="Heading3"/>
    <w:rsid w:val="007F11EE"/>
    <w:pPr>
      <w:spacing w:after="240"/>
      <w:outlineLvl w:val="9"/>
    </w:pPr>
    <w:rPr>
      <w:noProof/>
    </w:rPr>
  </w:style>
  <w:style w:type="paragraph" w:styleId="Index2">
    <w:name w:val="index 2"/>
    <w:basedOn w:val="Normal"/>
    <w:next w:val="Normal"/>
    <w:semiHidden/>
    <w:rsid w:val="007F11EE"/>
    <w:pPr>
      <w:tabs>
        <w:tab w:val="right" w:pos="4176"/>
      </w:tabs>
      <w:ind w:left="568" w:hanging="284"/>
    </w:pPr>
    <w:rPr>
      <w:rFonts w:ascii="Garamond" w:hAnsi="Garamond"/>
    </w:rPr>
  </w:style>
  <w:style w:type="paragraph" w:customStyle="1" w:styleId="Byline">
    <w:name w:val="Byline"/>
    <w:rsid w:val="007F1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1EE"/>
    <w:pPr>
      <w:tabs>
        <w:tab w:val="clear" w:pos="3600"/>
        <w:tab w:val="clear" w:pos="3958"/>
      </w:tabs>
      <w:jc w:val="right"/>
    </w:pPr>
  </w:style>
  <w:style w:type="character" w:styleId="Emphasis">
    <w:name w:val="Emphasis"/>
    <w:basedOn w:val="DefaultParagraphFont"/>
    <w:qFormat/>
    <w:rsid w:val="007F11EE"/>
    <w:rPr>
      <w:i/>
    </w:rPr>
  </w:style>
  <w:style w:type="paragraph" w:styleId="Caption">
    <w:name w:val="caption"/>
    <w:basedOn w:val="BodyText"/>
    <w:next w:val="Normal"/>
    <w:qFormat/>
    <w:rsid w:val="007F11EE"/>
    <w:pPr>
      <w:framePr w:w="2268" w:hSpace="181" w:vSpace="181" w:wrap="around" w:vAnchor="text" w:hAnchor="page" w:x="1135" w:y="285" w:anchorLock="1"/>
    </w:pPr>
    <w:rPr>
      <w:i/>
    </w:rPr>
  </w:style>
  <w:style w:type="paragraph" w:customStyle="1" w:styleId="MiniTOCTitle">
    <w:name w:val="MiniTOCTitle"/>
    <w:basedOn w:val="Heading4"/>
    <w:rsid w:val="007F11EE"/>
    <w:pPr>
      <w:spacing w:before="240"/>
      <w:outlineLvl w:val="9"/>
    </w:pPr>
    <w:rPr>
      <w:noProof/>
      <w:sz w:val="24"/>
    </w:rPr>
  </w:style>
  <w:style w:type="paragraph" w:customStyle="1" w:styleId="MiniTOCItem">
    <w:name w:val="MiniTOCItem"/>
    <w:basedOn w:val="ListBullet"/>
    <w:rsid w:val="007F11EE"/>
    <w:pPr>
      <w:numPr>
        <w:numId w:val="0"/>
      </w:numPr>
      <w:tabs>
        <w:tab w:val="right" w:leader="dot" w:pos="6521"/>
      </w:tabs>
      <w:spacing w:before="0" w:after="0"/>
    </w:pPr>
  </w:style>
  <w:style w:type="paragraph" w:customStyle="1" w:styleId="TOFTitle">
    <w:name w:val="TOFTitle"/>
    <w:basedOn w:val="TOCTitle"/>
    <w:rsid w:val="007F11EE"/>
  </w:style>
  <w:style w:type="paragraph" w:styleId="TableofFigures">
    <w:name w:val="table of figures"/>
    <w:basedOn w:val="Normal"/>
    <w:next w:val="Normal"/>
    <w:semiHidden/>
    <w:rsid w:val="007F11EE"/>
    <w:pPr>
      <w:tabs>
        <w:tab w:val="right" w:leader="dot" w:pos="9072"/>
      </w:tabs>
      <w:ind w:left="970" w:hanging="403"/>
    </w:pPr>
    <w:rPr>
      <w:rFonts w:ascii="Times New Roman" w:hAnsi="Times New Roman"/>
      <w:b/>
    </w:rPr>
  </w:style>
  <w:style w:type="paragraph" w:styleId="ListNumber">
    <w:name w:val="List Number"/>
    <w:basedOn w:val="List"/>
    <w:rsid w:val="007F11EE"/>
    <w:pPr>
      <w:numPr>
        <w:numId w:val="9"/>
      </w:numPr>
    </w:pPr>
  </w:style>
  <w:style w:type="character" w:customStyle="1" w:styleId="WingdingSymbols">
    <w:name w:val="Wingding Symbols"/>
    <w:rsid w:val="007F11EE"/>
    <w:rPr>
      <w:rFonts w:ascii="Wingdings" w:hAnsi="Wingdings"/>
    </w:rPr>
  </w:style>
  <w:style w:type="paragraph" w:customStyle="1" w:styleId="TableHeading">
    <w:name w:val="Table Heading"/>
    <w:basedOn w:val="HeadingBase"/>
    <w:rsid w:val="007F11EE"/>
    <w:pPr>
      <w:keepLines/>
      <w:pBdr>
        <w:bottom w:val="single" w:sz="6" w:space="1" w:color="918585"/>
      </w:pBdr>
      <w:spacing w:before="240"/>
    </w:pPr>
  </w:style>
  <w:style w:type="character" w:customStyle="1" w:styleId="HotSpot">
    <w:name w:val="HotSpot"/>
    <w:rsid w:val="007F11EE"/>
    <w:rPr>
      <w:color w:val="0033CC"/>
      <w:u w:val="none"/>
    </w:rPr>
  </w:style>
  <w:style w:type="paragraph" w:customStyle="1" w:styleId="BodyTextRight">
    <w:name w:val="Body Text Right"/>
    <w:basedOn w:val="BodyText"/>
    <w:rsid w:val="007F11EE"/>
    <w:pPr>
      <w:spacing w:before="0" w:after="0"/>
      <w:jc w:val="right"/>
    </w:pPr>
  </w:style>
  <w:style w:type="paragraph" w:styleId="Index3">
    <w:name w:val="index 3"/>
    <w:basedOn w:val="ListNumber2"/>
    <w:next w:val="Normal"/>
    <w:semiHidden/>
    <w:rsid w:val="007F11EE"/>
    <w:pPr>
      <w:numPr>
        <w:numId w:val="0"/>
      </w:numPr>
      <w:tabs>
        <w:tab w:val="right" w:leader="dot" w:pos="4176"/>
      </w:tabs>
    </w:pPr>
  </w:style>
  <w:style w:type="paragraph" w:styleId="ListNumber2">
    <w:name w:val="List Number 2"/>
    <w:basedOn w:val="List2"/>
    <w:rsid w:val="007F11EE"/>
    <w:pPr>
      <w:numPr>
        <w:numId w:val="8"/>
      </w:numPr>
      <w:tabs>
        <w:tab w:val="clear" w:pos="1060"/>
      </w:tabs>
    </w:pPr>
  </w:style>
  <w:style w:type="paragraph" w:customStyle="1" w:styleId="MarginNote">
    <w:name w:val="Margin Note"/>
    <w:basedOn w:val="BodyText"/>
    <w:rsid w:val="007F1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1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11EE"/>
    <w:rPr>
      <w:sz w:val="32"/>
    </w:rPr>
  </w:style>
  <w:style w:type="paragraph" w:customStyle="1" w:styleId="HeadingProcedure">
    <w:name w:val="Heading Procedure"/>
    <w:basedOn w:val="HeadingBase"/>
    <w:next w:val="Normal"/>
    <w:rsid w:val="007F11EE"/>
    <w:pPr>
      <w:tabs>
        <w:tab w:val="left" w:pos="0"/>
      </w:tabs>
      <w:spacing w:before="120" w:after="60"/>
    </w:pPr>
    <w:rPr>
      <w:i/>
      <w:color w:val="918585"/>
      <w:sz w:val="22"/>
    </w:rPr>
  </w:style>
  <w:style w:type="paragraph" w:customStyle="1" w:styleId="TableBodyText">
    <w:name w:val="Table Body Text"/>
    <w:basedOn w:val="BodyText"/>
    <w:rsid w:val="007F11EE"/>
    <w:pPr>
      <w:spacing w:before="60" w:after="60"/>
    </w:pPr>
  </w:style>
  <w:style w:type="paragraph" w:styleId="ListContinue">
    <w:name w:val="List Continue"/>
    <w:basedOn w:val="List"/>
    <w:rsid w:val="007F11EE"/>
    <w:pPr>
      <w:ind w:firstLine="0"/>
    </w:pPr>
  </w:style>
  <w:style w:type="paragraph" w:customStyle="1" w:styleId="ListNote">
    <w:name w:val="List Note"/>
    <w:basedOn w:val="List"/>
    <w:rsid w:val="007F11EE"/>
    <w:pPr>
      <w:pBdr>
        <w:top w:val="single" w:sz="6" w:space="2" w:color="918585"/>
        <w:bottom w:val="single" w:sz="6" w:space="2" w:color="918585"/>
      </w:pBdr>
      <w:tabs>
        <w:tab w:val="left" w:pos="1021"/>
      </w:tabs>
      <w:ind w:firstLine="0"/>
    </w:pPr>
  </w:style>
  <w:style w:type="paragraph" w:customStyle="1" w:styleId="Warning">
    <w:name w:val="Warning"/>
    <w:basedOn w:val="BodyText"/>
    <w:rsid w:val="007F11EE"/>
    <w:pPr>
      <w:shd w:val="clear" w:color="auto" w:fill="D9D9D9"/>
      <w:tabs>
        <w:tab w:val="left" w:pos="992"/>
      </w:tabs>
      <w:ind w:left="119" w:right="119"/>
    </w:pPr>
    <w:rPr>
      <w:sz w:val="20"/>
    </w:rPr>
  </w:style>
  <w:style w:type="paragraph" w:customStyle="1" w:styleId="MarginIcons">
    <w:name w:val="Margin Icons"/>
    <w:basedOn w:val="BodyText"/>
    <w:rsid w:val="007F1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1EE"/>
    <w:rPr>
      <w:rFonts w:ascii="Courier New" w:hAnsi="Courier New"/>
    </w:rPr>
  </w:style>
  <w:style w:type="paragraph" w:customStyle="1" w:styleId="NoteBullet">
    <w:name w:val="Note Bullet"/>
    <w:basedOn w:val="Note"/>
    <w:rsid w:val="007F11EE"/>
    <w:pPr>
      <w:tabs>
        <w:tab w:val="clear" w:pos="680"/>
      </w:tabs>
      <w:spacing w:before="60" w:after="60"/>
    </w:pPr>
  </w:style>
  <w:style w:type="paragraph" w:customStyle="1" w:styleId="SubHeading2">
    <w:name w:val="SubHeading2"/>
    <w:basedOn w:val="HeadingBase"/>
    <w:rsid w:val="007F11EE"/>
    <w:pPr>
      <w:spacing w:before="240" w:after="60"/>
    </w:pPr>
    <w:rPr>
      <w:sz w:val="20"/>
    </w:rPr>
  </w:style>
  <w:style w:type="paragraph" w:customStyle="1" w:styleId="SubHeading1">
    <w:name w:val="SubHeading1"/>
    <w:basedOn w:val="HeadingBase"/>
    <w:rsid w:val="007F11EE"/>
    <w:pPr>
      <w:spacing w:before="240" w:after="60"/>
    </w:pPr>
    <w:rPr>
      <w:color w:val="918585"/>
      <w:sz w:val="22"/>
    </w:rPr>
  </w:style>
  <w:style w:type="paragraph" w:customStyle="1" w:styleId="SideHeading">
    <w:name w:val="Side Heading"/>
    <w:basedOn w:val="HeadingBase"/>
    <w:rsid w:val="007F1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1EE"/>
    <w:pPr>
      <w:numPr>
        <w:numId w:val="10"/>
      </w:numPr>
    </w:pPr>
  </w:style>
  <w:style w:type="paragraph" w:styleId="PlainText">
    <w:name w:val="Plain Text"/>
    <w:basedOn w:val="Normal"/>
    <w:link w:val="PlainTextChar"/>
    <w:rsid w:val="007F11EE"/>
    <w:rPr>
      <w:sz w:val="20"/>
    </w:rPr>
  </w:style>
  <w:style w:type="character" w:customStyle="1" w:styleId="PlainTextChar">
    <w:name w:val="Plain Text Char"/>
    <w:basedOn w:val="DefaultParagraphFont"/>
    <w:link w:val="PlainText"/>
    <w:rsid w:val="007F11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11EE"/>
    <w:rPr>
      <w:b/>
      <w:smallCaps/>
    </w:rPr>
  </w:style>
  <w:style w:type="paragraph" w:customStyle="1" w:styleId="TableListNumber">
    <w:name w:val="Table List Number"/>
    <w:basedOn w:val="ListNumber"/>
    <w:rsid w:val="007F11EE"/>
    <w:pPr>
      <w:numPr>
        <w:numId w:val="0"/>
      </w:numPr>
    </w:pPr>
  </w:style>
  <w:style w:type="paragraph" w:styleId="TOC4">
    <w:name w:val="toc 4"/>
    <w:basedOn w:val="TOCBase"/>
    <w:next w:val="Normal"/>
    <w:semiHidden/>
    <w:rsid w:val="007F11EE"/>
    <w:pPr>
      <w:tabs>
        <w:tab w:val="right" w:leader="dot" w:pos="9071"/>
      </w:tabs>
      <w:ind w:left="1701"/>
    </w:pPr>
  </w:style>
  <w:style w:type="paragraph" w:customStyle="1" w:styleId="ListAlpha">
    <w:name w:val="List Alpha"/>
    <w:basedOn w:val="List"/>
    <w:rsid w:val="007F11EE"/>
    <w:pPr>
      <w:numPr>
        <w:numId w:val="7"/>
      </w:numPr>
    </w:pPr>
  </w:style>
  <w:style w:type="paragraph" w:customStyle="1" w:styleId="ListAlpha2">
    <w:name w:val="List Alpha 2"/>
    <w:basedOn w:val="List2"/>
    <w:rsid w:val="007F11EE"/>
    <w:pPr>
      <w:numPr>
        <w:numId w:val="6"/>
      </w:numPr>
    </w:pPr>
  </w:style>
  <w:style w:type="paragraph" w:styleId="List2">
    <w:name w:val="List 2"/>
    <w:basedOn w:val="BodyText"/>
    <w:rsid w:val="007F11EE"/>
    <w:pPr>
      <w:tabs>
        <w:tab w:val="left" w:pos="680"/>
      </w:tabs>
      <w:spacing w:before="60" w:after="60"/>
      <w:ind w:left="680" w:hanging="340"/>
    </w:pPr>
  </w:style>
  <w:style w:type="paragraph" w:styleId="List3">
    <w:name w:val="List 3"/>
    <w:basedOn w:val="BodyText"/>
    <w:rsid w:val="007F11EE"/>
    <w:pPr>
      <w:tabs>
        <w:tab w:val="left" w:pos="1021"/>
      </w:tabs>
      <w:spacing w:before="60" w:after="60"/>
      <w:ind w:left="1020" w:hanging="340"/>
    </w:pPr>
  </w:style>
  <w:style w:type="paragraph" w:styleId="List4">
    <w:name w:val="List 4"/>
    <w:basedOn w:val="BodyText"/>
    <w:rsid w:val="007F11EE"/>
    <w:pPr>
      <w:tabs>
        <w:tab w:val="left" w:pos="1361"/>
      </w:tabs>
      <w:spacing w:before="60" w:after="60"/>
      <w:ind w:left="1361" w:hanging="340"/>
    </w:pPr>
  </w:style>
  <w:style w:type="paragraph" w:styleId="List5">
    <w:name w:val="List 5"/>
    <w:basedOn w:val="BodyText"/>
    <w:rsid w:val="007F11EE"/>
    <w:pPr>
      <w:tabs>
        <w:tab w:val="left" w:pos="1701"/>
      </w:tabs>
      <w:spacing w:before="60" w:after="60"/>
      <w:ind w:left="1701" w:hanging="340"/>
    </w:pPr>
  </w:style>
  <w:style w:type="paragraph" w:styleId="ListBullet3">
    <w:name w:val="List Bullet 3"/>
    <w:basedOn w:val="List3"/>
    <w:rsid w:val="007F11EE"/>
    <w:pPr>
      <w:numPr>
        <w:numId w:val="13"/>
      </w:numPr>
      <w:tabs>
        <w:tab w:val="clear" w:pos="1021"/>
      </w:tabs>
      <w:ind w:left="1037" w:hanging="357"/>
    </w:pPr>
  </w:style>
  <w:style w:type="paragraph" w:styleId="ListBullet4">
    <w:name w:val="List Bullet 4"/>
    <w:basedOn w:val="List4"/>
    <w:rsid w:val="007F11EE"/>
    <w:pPr>
      <w:numPr>
        <w:numId w:val="1"/>
      </w:numPr>
    </w:pPr>
  </w:style>
  <w:style w:type="paragraph" w:styleId="ListBullet5">
    <w:name w:val="List Bullet 5"/>
    <w:basedOn w:val="List5"/>
    <w:rsid w:val="007F11EE"/>
    <w:pPr>
      <w:numPr>
        <w:numId w:val="2"/>
      </w:numPr>
    </w:pPr>
  </w:style>
  <w:style w:type="paragraph" w:styleId="ListContinue2">
    <w:name w:val="List Continue 2"/>
    <w:basedOn w:val="List2"/>
    <w:rsid w:val="007F11EE"/>
    <w:pPr>
      <w:ind w:firstLine="0"/>
    </w:pPr>
  </w:style>
  <w:style w:type="paragraph" w:styleId="ListContinue3">
    <w:name w:val="List Continue 3"/>
    <w:basedOn w:val="List3"/>
    <w:rsid w:val="007F11EE"/>
    <w:pPr>
      <w:ind w:left="1021" w:firstLine="0"/>
    </w:pPr>
  </w:style>
  <w:style w:type="paragraph" w:styleId="ListContinue4">
    <w:name w:val="List Continue 4"/>
    <w:basedOn w:val="List4"/>
    <w:rsid w:val="007F11EE"/>
    <w:pPr>
      <w:ind w:firstLine="0"/>
    </w:pPr>
  </w:style>
  <w:style w:type="paragraph" w:styleId="ListContinue5">
    <w:name w:val="List Continue 5"/>
    <w:basedOn w:val="List5"/>
    <w:rsid w:val="007F11EE"/>
    <w:pPr>
      <w:ind w:firstLine="0"/>
    </w:pPr>
  </w:style>
  <w:style w:type="paragraph" w:styleId="ListNumber3">
    <w:name w:val="List Number 3"/>
    <w:basedOn w:val="List3"/>
    <w:rsid w:val="007F11EE"/>
    <w:pPr>
      <w:numPr>
        <w:numId w:val="3"/>
      </w:numPr>
    </w:pPr>
  </w:style>
  <w:style w:type="paragraph" w:styleId="ListNumber4">
    <w:name w:val="List Number 4"/>
    <w:basedOn w:val="List4"/>
    <w:rsid w:val="007F11EE"/>
    <w:pPr>
      <w:numPr>
        <w:numId w:val="4"/>
      </w:numPr>
    </w:pPr>
  </w:style>
  <w:style w:type="paragraph" w:styleId="ListNumber5">
    <w:name w:val="List Number 5"/>
    <w:basedOn w:val="List5"/>
    <w:rsid w:val="007F11EE"/>
    <w:pPr>
      <w:numPr>
        <w:numId w:val="5"/>
      </w:numPr>
    </w:pPr>
  </w:style>
  <w:style w:type="paragraph" w:styleId="BlockText">
    <w:name w:val="Block Text"/>
    <w:basedOn w:val="Normal"/>
    <w:rsid w:val="007F11EE"/>
    <w:pPr>
      <w:spacing w:after="120"/>
      <w:ind w:left="1440" w:right="1440"/>
    </w:pPr>
  </w:style>
  <w:style w:type="character" w:customStyle="1" w:styleId="Subscript">
    <w:name w:val="Subscript"/>
    <w:basedOn w:val="DefaultParagraphFont"/>
    <w:rsid w:val="007F11EE"/>
    <w:rPr>
      <w:sz w:val="16"/>
      <w:vertAlign w:val="subscript"/>
    </w:rPr>
  </w:style>
  <w:style w:type="character" w:customStyle="1" w:styleId="Superscript">
    <w:name w:val="Superscript"/>
    <w:basedOn w:val="DefaultParagraphFont"/>
    <w:rsid w:val="007F11EE"/>
    <w:rPr>
      <w:sz w:val="16"/>
      <w:vertAlign w:val="superscript"/>
    </w:rPr>
  </w:style>
  <w:style w:type="character" w:customStyle="1" w:styleId="Symbols">
    <w:name w:val="Symbols"/>
    <w:basedOn w:val="DefaultParagraphFont"/>
    <w:rsid w:val="007F11EE"/>
    <w:rPr>
      <w:rFonts w:ascii="Symbol" w:hAnsi="Symbol"/>
    </w:rPr>
  </w:style>
  <w:style w:type="character" w:customStyle="1" w:styleId="MenuOptions">
    <w:name w:val="Menu Options"/>
    <w:basedOn w:val="DefaultParagraphFont"/>
    <w:rsid w:val="007F11EE"/>
    <w:rPr>
      <w:rFonts w:ascii="Arial Narrow" w:hAnsi="Arial Narrow"/>
      <w:smallCaps/>
    </w:rPr>
  </w:style>
  <w:style w:type="character" w:customStyle="1" w:styleId="Buttons">
    <w:name w:val="Buttons"/>
    <w:basedOn w:val="DefaultParagraphFont"/>
    <w:rsid w:val="007F11EE"/>
    <w:rPr>
      <w:b/>
    </w:rPr>
  </w:style>
  <w:style w:type="character" w:customStyle="1" w:styleId="Underlined">
    <w:name w:val="Underlined"/>
    <w:basedOn w:val="DefaultParagraphFont"/>
    <w:rsid w:val="007F11EE"/>
    <w:rPr>
      <w:u w:val="single"/>
    </w:rPr>
  </w:style>
  <w:style w:type="paragraph" w:customStyle="1" w:styleId="TableBodyTextRight">
    <w:name w:val="Table Body Text Right"/>
    <w:basedOn w:val="TableBodyText"/>
    <w:rsid w:val="007F11EE"/>
    <w:pPr>
      <w:widowControl w:val="0"/>
      <w:autoSpaceDE w:val="0"/>
      <w:autoSpaceDN w:val="0"/>
      <w:adjustRightInd w:val="0"/>
      <w:jc w:val="right"/>
    </w:pPr>
    <w:rPr>
      <w:rFonts w:cs="Arial"/>
      <w:szCs w:val="18"/>
    </w:rPr>
  </w:style>
  <w:style w:type="paragraph" w:customStyle="1" w:styleId="CopyrightText">
    <w:name w:val="Copyright Text"/>
    <w:basedOn w:val="BodyText"/>
    <w:rsid w:val="007F11EE"/>
    <w:rPr>
      <w:sz w:val="18"/>
    </w:rPr>
  </w:style>
  <w:style w:type="paragraph" w:customStyle="1" w:styleId="BodySmallRight">
    <w:name w:val="Body Small Right"/>
    <w:basedOn w:val="BodyTextRight"/>
    <w:rsid w:val="007F11EE"/>
    <w:rPr>
      <w:sz w:val="18"/>
      <w:szCs w:val="18"/>
    </w:rPr>
  </w:style>
  <w:style w:type="paragraph" w:customStyle="1" w:styleId="MarginEdition">
    <w:name w:val="Margin Edition"/>
    <w:basedOn w:val="MarginNote"/>
    <w:rsid w:val="007F11EE"/>
    <w:pPr>
      <w:spacing w:before="0" w:after="0"/>
    </w:pPr>
    <w:rPr>
      <w:rFonts w:ascii="Times New Roman" w:hAnsi="Times New Roman"/>
      <w:color w:val="999999"/>
    </w:rPr>
  </w:style>
  <w:style w:type="paragraph" w:customStyle="1" w:styleId="Spacer">
    <w:name w:val="Spacer"/>
    <w:basedOn w:val="Normal"/>
    <w:rsid w:val="007F11EE"/>
    <w:rPr>
      <w:sz w:val="2"/>
      <w:szCs w:val="2"/>
    </w:rPr>
  </w:style>
  <w:style w:type="character" w:customStyle="1" w:styleId="Small">
    <w:name w:val="Small"/>
    <w:basedOn w:val="DefaultParagraphFont"/>
    <w:rsid w:val="007F11EE"/>
    <w:rPr>
      <w:sz w:val="16"/>
    </w:rPr>
  </w:style>
  <w:style w:type="paragraph" w:customStyle="1" w:styleId="WideTable">
    <w:name w:val="Wide Table"/>
    <w:basedOn w:val="Normal"/>
    <w:rsid w:val="007F11EE"/>
    <w:pPr>
      <w:ind w:left="-1418"/>
    </w:pPr>
    <w:rPr>
      <w:sz w:val="2"/>
      <w:szCs w:val="2"/>
    </w:rPr>
  </w:style>
  <w:style w:type="character" w:styleId="PageNumber">
    <w:name w:val="page number"/>
    <w:basedOn w:val="DefaultParagraphFont"/>
    <w:rsid w:val="007F11EE"/>
  </w:style>
  <w:style w:type="paragraph" w:styleId="Quote">
    <w:name w:val="Quote"/>
    <w:basedOn w:val="Heading1"/>
    <w:link w:val="QuoteChar"/>
    <w:qFormat/>
    <w:rsid w:val="007F11EE"/>
    <w:rPr>
      <w:b w:val="0"/>
      <w:sz w:val="72"/>
      <w:szCs w:val="72"/>
      <w:lang w:val="en-NZ"/>
    </w:rPr>
  </w:style>
  <w:style w:type="character" w:customStyle="1" w:styleId="QuoteChar">
    <w:name w:val="Quote Char"/>
    <w:basedOn w:val="DefaultParagraphFont"/>
    <w:link w:val="Quote"/>
    <w:rsid w:val="007F1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1EE"/>
    <w:pPr>
      <w:pageBreakBefore/>
    </w:pPr>
  </w:style>
  <w:style w:type="paragraph" w:customStyle="1" w:styleId="Border">
    <w:name w:val="Border"/>
    <w:basedOn w:val="Normal"/>
    <w:qFormat/>
    <w:rsid w:val="007F1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1EE"/>
    <w:rPr>
      <w:b/>
      <w:bCs/>
      <w:i/>
      <w:iCs/>
      <w:color w:val="auto"/>
    </w:rPr>
  </w:style>
  <w:style w:type="paragraph" w:styleId="IntenseQuote">
    <w:name w:val="Intense Quote"/>
    <w:basedOn w:val="Normal"/>
    <w:next w:val="Normal"/>
    <w:link w:val="IntenseQuoteChar"/>
    <w:uiPriority w:val="30"/>
    <w:qFormat/>
    <w:rsid w:val="007F1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1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11EE"/>
    <w:rPr>
      <w:smallCaps/>
      <w:color w:val="auto"/>
      <w:u w:val="single"/>
    </w:rPr>
  </w:style>
  <w:style w:type="character" w:styleId="IntenseReference">
    <w:name w:val="Intense Reference"/>
    <w:basedOn w:val="DefaultParagraphFont"/>
    <w:uiPriority w:val="32"/>
    <w:qFormat/>
    <w:rsid w:val="007F11EE"/>
    <w:rPr>
      <w:b/>
      <w:bCs/>
      <w:smallCaps/>
      <w:color w:val="auto"/>
      <w:spacing w:val="5"/>
      <w:u w:val="single"/>
    </w:rPr>
  </w:style>
  <w:style w:type="paragraph" w:customStyle="1" w:styleId="2ColumnHeading">
    <w:name w:val="2Column Heading"/>
    <w:basedOn w:val="BodyText"/>
    <w:qFormat/>
    <w:rsid w:val="007F11EE"/>
    <w:pPr>
      <w:spacing w:after="60"/>
      <w:ind w:left="-2268"/>
    </w:pPr>
    <w:rPr>
      <w:b/>
    </w:rPr>
  </w:style>
  <w:style w:type="paragraph" w:customStyle="1" w:styleId="Heading1TOC">
    <w:name w:val="Heading1 TOC"/>
    <w:basedOn w:val="Normal"/>
    <w:qFormat/>
    <w:rsid w:val="007F11EE"/>
    <w:pPr>
      <w:spacing w:before="240" w:after="120"/>
    </w:pPr>
    <w:rPr>
      <w:rFonts w:ascii="Times New Roman" w:hAnsi="Times New Roman"/>
      <w:b/>
      <w:sz w:val="32"/>
    </w:rPr>
  </w:style>
  <w:style w:type="paragraph" w:customStyle="1" w:styleId="Heading2TOC">
    <w:name w:val="Heading2 TOC"/>
    <w:basedOn w:val="Normal"/>
    <w:qFormat/>
    <w:rsid w:val="007F11EE"/>
    <w:pPr>
      <w:spacing w:before="240" w:after="60"/>
    </w:pPr>
    <w:rPr>
      <w:rFonts w:ascii="Times New Roman" w:hAnsi="Times New Roman"/>
      <w:b/>
      <w:sz w:val="28"/>
    </w:rPr>
  </w:style>
  <w:style w:type="character" w:customStyle="1" w:styleId="Underline">
    <w:name w:val="Underline"/>
    <w:basedOn w:val="DefaultParagraphFont"/>
    <w:qFormat/>
    <w:rsid w:val="007F11EE"/>
    <w:rPr>
      <w:u w:val="single"/>
    </w:rPr>
  </w:style>
  <w:style w:type="character" w:customStyle="1" w:styleId="BoldandItalics">
    <w:name w:val="Bold and Italics"/>
    <w:qFormat/>
    <w:rsid w:val="007F11EE"/>
    <w:rPr>
      <w:b/>
      <w:i/>
      <w:u w:val="none"/>
    </w:rPr>
  </w:style>
  <w:style w:type="paragraph" w:styleId="BalloonText">
    <w:name w:val="Balloon Text"/>
    <w:basedOn w:val="Normal"/>
    <w:link w:val="BalloonTextChar"/>
    <w:rsid w:val="007F11EE"/>
    <w:rPr>
      <w:rFonts w:ascii="Tahoma" w:hAnsi="Tahoma" w:cs="Tahoma"/>
      <w:sz w:val="16"/>
      <w:szCs w:val="16"/>
    </w:rPr>
  </w:style>
  <w:style w:type="character" w:customStyle="1" w:styleId="BalloonTextChar">
    <w:name w:val="Balloon Text Char"/>
    <w:basedOn w:val="DefaultParagraphFont"/>
    <w:link w:val="BalloonText"/>
    <w:rsid w:val="007F11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11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11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1828</Words>
  <Characters>10466</Characters>
  <Application>Microsoft Office Word</Application>
  <DocSecurity>0</DocSecurity>
  <Lines>390</Lines>
  <Paragraphs>153</Paragraphs>
  <ScaleCrop>false</ScaleCrop>
  <Company>Author-it Software Corporation Ltd.</Company>
  <LinksUpToDate>false</LinksUpToDate>
  <CharactersWithSpaces>12263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RTC3206A Erect timber structures and features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2012-05-27T07:35:00Z</dcterms:created>
  <dcterms:modified xsi:type="dcterms:W3CDTF">2012-05-27T07:35:00Z</dcterms:modified>
</cp:coreProperties>
</file>