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4C1" w:rsidP="007A64C1">
      <w:pPr>
        <w:pStyle w:val="Title"/>
      </w:pPr>
      <w:r>
        <w:fldChar w:fldCharType="begin"/>
      </w:r>
      <w:r>
        <w:instrText xml:space="preserve"> TITLE   \* MERGEFORMAT </w:instrText>
      </w:r>
      <w:r>
        <w:fldChar w:fldCharType="separate"/>
      </w:r>
      <w:r>
        <w:t>RTC2706A Apply chemicals under supervision</w:t>
      </w:r>
      <w:r>
        <w:fldChar w:fldCharType="end"/>
      </w:r>
    </w:p>
    <w:p w:rsidR="007A64C1" w:rsidP="007A64C1">
      <w:pPr>
        <w:pStyle w:val="Version"/>
        <w:sectPr w:rsidSect="001C66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663D" w:rsidP="001C663D">
      <w:pPr>
        <w:pStyle w:val="SuperHeading"/>
      </w:pPr>
      <w:r w:rsidRPr="001C663D">
        <w:t>RTC2706A Apply chemicals under supervision</w:t>
      </w:r>
    </w:p>
    <w:p w:rsidR="00000000" w:rsidRPr="001C663D" w:rsidP="001C663D">
      <w:pPr>
        <w:pStyle w:val="Heading1"/>
      </w:pPr>
      <w:bookmarkStart w:id="1" w:name="O_325575"/>
      <w:bookmarkEnd w:id="1"/>
      <w:r w:rsidRPr="001C663D">
        <w:t>Modification History</w:t>
      </w:r>
    </w:p>
    <w:p w:rsidR="00000000" w:rsidRPr="001C663D" w:rsidP="001C663D">
      <w:pPr>
        <w:pStyle w:val="BodyText"/>
      </w:pPr>
      <w:r w:rsidRPr="001C663D">
        <w:t>Not applicable.</w:t>
      </w:r>
    </w:p>
    <w:p w:rsidR="00000000" w:rsidRPr="001C663D" w:rsidP="001C663D">
      <w:pPr>
        <w:pStyle w:val="AllowPageBreak"/>
      </w:pPr>
    </w:p>
    <w:p w:rsidR="00000000" w:rsidRPr="001C663D" w:rsidP="001C663D">
      <w:pPr>
        <w:pStyle w:val="Heading1"/>
      </w:pPr>
      <w:bookmarkStart w:id="2" w:name="O_325576"/>
      <w:bookmarkEnd w:id="2"/>
      <w:r w:rsidRPr="001C663D">
        <w:t>Unit Descriptor</w:t>
      </w:r>
    </w:p>
    <w:p w:rsidR="00000000" w:rsidRPr="001C663D" w:rsidP="001C663D">
      <w:pPr>
        <w:pStyle w:val="BodyText"/>
      </w:pPr>
      <w:r w:rsidRPr="001C663D">
        <w:t xml:space="preserve">This competency standard covers the process of applying chemicals and biological agents for the control of weeds, pests and </w:t>
      </w:r>
      <w:r w:rsidRPr="001C663D">
        <w:t>diseases using workplace specific application equipment.  The work functions in this standard will be carried out under supervision.  A thorough knowledge and the application of safety procedures and regulations when using chemicals is required.</w:t>
      </w:r>
    </w:p>
    <w:p w:rsidR="00000000" w:rsidRPr="001C663D" w:rsidP="001C663D">
      <w:pPr>
        <w:pStyle w:val="BodyText"/>
      </w:pPr>
      <w:r w:rsidRPr="001C663D">
        <w:rPr>
          <w:rStyle w:val="SpecialBold"/>
        </w:rPr>
        <w:t xml:space="preserve">NB:  This </w:t>
      </w:r>
      <w:r w:rsidRPr="001C663D">
        <w:rPr>
          <w:rStyle w:val="SpecialBold"/>
        </w:rPr>
        <w:t>competency standard may be deemed to have a time limit when used as part of an accreditation or licence to purchase or use chemicals.</w:t>
      </w:r>
    </w:p>
    <w:p w:rsidR="00000000" w:rsidRPr="001C663D" w:rsidP="001C663D">
      <w:pPr>
        <w:pStyle w:val="BodyText"/>
      </w:pPr>
      <w:r w:rsidRPr="001C663D">
        <w:t>This competency standard covers the process of applying chemicals and biological agents for the control of weeds, pests an</w:t>
      </w:r>
      <w:r w:rsidRPr="001C663D">
        <w:t>d diseases using workplace specific application equipment.  The work functions in this standard will be carried out under supervision.  A thorough knowledge and the application of safety procedures and regulations when using chemicals is required.</w:t>
      </w:r>
    </w:p>
    <w:p w:rsidR="00000000" w:rsidRPr="001C663D" w:rsidP="001C663D">
      <w:pPr>
        <w:pStyle w:val="BodyText"/>
      </w:pPr>
      <w:r w:rsidRPr="001C663D">
        <w:rPr>
          <w:rStyle w:val="SpecialBold"/>
        </w:rPr>
        <w:t>NB:  Thi</w:t>
      </w:r>
      <w:r w:rsidRPr="001C663D">
        <w:rPr>
          <w:rStyle w:val="SpecialBold"/>
        </w:rPr>
        <w:t>s competency standard may be deemed to have a time limit when used as part of an accreditation or licence to purchase or use chemicals.</w:t>
      </w:r>
    </w:p>
    <w:p w:rsidR="00000000" w:rsidRPr="001C663D" w:rsidP="001C663D">
      <w:pPr>
        <w:pStyle w:val="AllowPageBreak"/>
      </w:pPr>
    </w:p>
    <w:p w:rsidR="00000000" w:rsidRPr="001C663D" w:rsidP="001C663D">
      <w:pPr>
        <w:pStyle w:val="Heading1"/>
      </w:pPr>
      <w:bookmarkStart w:id="3" w:name="O_325574"/>
      <w:bookmarkEnd w:id="3"/>
      <w:r w:rsidRPr="001C663D">
        <w:t>Application of the Unit</w:t>
      </w:r>
    </w:p>
    <w:p w:rsidR="00000000" w:rsidRPr="001C663D" w:rsidP="001C663D">
      <w:pPr>
        <w:pStyle w:val="BodyText"/>
      </w:pPr>
      <w:r w:rsidRPr="001C663D">
        <w:t>Not applicable.</w:t>
      </w:r>
    </w:p>
    <w:p w:rsidR="00000000" w:rsidRPr="001C663D" w:rsidP="001C663D">
      <w:pPr>
        <w:pStyle w:val="AllowPageBreak"/>
      </w:pPr>
    </w:p>
    <w:p w:rsidR="00000000" w:rsidRPr="001C663D" w:rsidP="001C663D">
      <w:pPr>
        <w:pStyle w:val="Heading1"/>
      </w:pPr>
      <w:bookmarkStart w:id="4" w:name="O_325573"/>
      <w:bookmarkEnd w:id="4"/>
      <w:r w:rsidRPr="001C663D">
        <w:t>Licensing/Regulatory Information</w:t>
      </w:r>
    </w:p>
    <w:p w:rsidR="00000000" w:rsidRPr="001C663D" w:rsidP="001C663D">
      <w:pPr>
        <w:pStyle w:val="BodyText"/>
      </w:pPr>
      <w:r w:rsidRPr="001C663D">
        <w:t>Not applicable.</w:t>
      </w:r>
    </w:p>
    <w:p w:rsidR="00000000" w:rsidRPr="001C663D" w:rsidP="001C663D">
      <w:pPr>
        <w:pStyle w:val="AllowPageBreak"/>
      </w:pPr>
    </w:p>
    <w:p w:rsidR="00000000" w:rsidRPr="001C663D" w:rsidP="001C663D">
      <w:pPr>
        <w:pStyle w:val="Heading1"/>
      </w:pPr>
      <w:bookmarkStart w:id="5" w:name="O_325572"/>
      <w:bookmarkEnd w:id="5"/>
      <w:r w:rsidRPr="001C663D">
        <w:t>Pre-Requisites</w:t>
      </w:r>
    </w:p>
    <w:p w:rsidR="00000000" w:rsidRPr="001C663D" w:rsidP="001C663D">
      <w:pPr>
        <w:pStyle w:val="BodyText"/>
      </w:pPr>
      <w:r w:rsidRPr="001C663D">
        <w:t>Not applicable.</w:t>
      </w:r>
    </w:p>
    <w:p w:rsidR="00000000" w:rsidRPr="001C663D" w:rsidP="001C663D">
      <w:pPr>
        <w:pStyle w:val="AllowPageBreak"/>
      </w:pPr>
    </w:p>
    <w:p w:rsidR="00000000" w:rsidRPr="001C663D" w:rsidP="001C663D">
      <w:pPr>
        <w:pStyle w:val="Heading1"/>
      </w:pPr>
      <w:bookmarkStart w:id="6" w:name="O_325571"/>
      <w:bookmarkEnd w:id="6"/>
      <w:r w:rsidRPr="001C663D">
        <w:t>Employability Skills Information</w:t>
      </w:r>
    </w:p>
    <w:p w:rsidR="00000000" w:rsidRPr="001C663D" w:rsidP="001C663D">
      <w:pPr>
        <w:pStyle w:val="BodyText"/>
      </w:pPr>
      <w:r w:rsidRPr="001C663D">
        <w:t>Not applicable.</w:t>
      </w:r>
    </w:p>
    <w:p w:rsidR="00000000" w:rsidRPr="001C663D" w:rsidP="001C663D">
      <w:pPr>
        <w:pStyle w:val="AllowPageBreak"/>
      </w:pPr>
    </w:p>
    <w:p w:rsidR="00000000" w:rsidRPr="001C663D" w:rsidP="001C663D">
      <w:pPr>
        <w:pStyle w:val="Heading1"/>
      </w:pPr>
      <w:bookmarkStart w:id="7" w:name="O_325577"/>
      <w:bookmarkEnd w:id="7"/>
      <w:r w:rsidRPr="001C663D">
        <w:t>Elements and Performance Criteria Pre-Content</w:t>
      </w:r>
    </w:p>
    <w:p w:rsidR="00000000" w:rsidRPr="001C663D" w:rsidP="001C663D">
      <w:pPr>
        <w:pStyle w:val="BodyText"/>
      </w:pPr>
      <w:r w:rsidRPr="001C663D">
        <w:t>Not applicable.</w:t>
      </w:r>
    </w:p>
    <w:p w:rsidR="00000000" w:rsidRPr="001C663D" w:rsidP="001C663D">
      <w:pPr>
        <w:pStyle w:val="AllowPageBreak"/>
      </w:pPr>
    </w:p>
    <w:p w:rsidR="00000000" w:rsidRPr="001C663D" w:rsidP="001C663D">
      <w:pPr>
        <w:pStyle w:val="Heading1"/>
      </w:pPr>
      <w:bookmarkStart w:id="8" w:name="O_325567"/>
      <w:bookmarkEnd w:id="8"/>
      <w:r w:rsidRPr="001C663D">
        <w:t>Elements and Performance Crite</w:t>
      </w:r>
      <w:r w:rsidRPr="001C663D">
        <w:t>ria</w:t>
      </w:r>
    </w:p>
    <w:tbl>
      <w:tblPr>
        <w:tblW w:w="0" w:type="auto"/>
        <w:tblLayout w:type="fixed"/>
        <w:tblCellMar>
          <w:left w:w="62" w:type="dxa"/>
          <w:right w:w="62" w:type="dxa"/>
        </w:tblCellMar>
        <w:tblLook w:val="0000"/>
      </w:tblPr>
      <w:tblGrid>
        <w:gridCol w:w="400"/>
        <w:gridCol w:w="3000"/>
        <w:gridCol w:w="500"/>
        <w:gridCol w:w="5100"/>
      </w:tblGrid>
      <w:tr w:rsidTr="007A64C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rPr>
                <w:rStyle w:val="SpecialBold"/>
              </w:rPr>
              <w:t>Elements and Performance Criteria</w:t>
            </w:r>
          </w:p>
        </w:tc>
      </w:tr>
      <w:tr w:rsidTr="007A64C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rPr>
                <w:rStyle w:val="SpecialBold"/>
              </w:rPr>
              <w:t>Performance Criteria</w:t>
            </w:r>
          </w:p>
        </w:tc>
      </w:tr>
      <w:tr w:rsidTr="007A64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1</w:t>
            </w:r>
          </w:p>
        </w:tc>
        <w:tc>
          <w:tcPr>
            <w:tcW w:w="3000" w:type="dxa"/>
            <w:vMerge w:val="restart"/>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Follow instructions to check and maintain application and personal protective equipment</w:t>
            </w: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1.1</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Pre and post operational checks and maintenance on </w:t>
            </w:r>
            <w:r w:rsidRPr="001C663D">
              <w:rPr>
                <w:rStyle w:val="SpecialBold"/>
              </w:rPr>
              <w:t xml:space="preserve">application equipment </w:t>
            </w:r>
            <w:r w:rsidRPr="001C663D">
              <w:t>are carried out according to manufacturers specifications and enterprise procedures.</w:t>
            </w:r>
          </w:p>
        </w:tc>
      </w:tr>
      <w:tr w:rsidTr="007A64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t>1.2</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rPr>
                <w:rStyle w:val="SpecialBold"/>
              </w:rPr>
              <w:t xml:space="preserve">Application and personal protective equipment </w:t>
            </w:r>
            <w:r w:rsidRPr="001C663D">
              <w:t>are prepared and adjusted for use appropriate to the situation and in accordance with OHS requirements.</w:t>
            </w:r>
          </w:p>
        </w:tc>
      </w:tr>
      <w:tr w:rsidTr="007A64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1.3</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Instructions are followed to identify and maintain damaged, non-functioning or worn equipment.</w:t>
            </w:r>
          </w:p>
        </w:tc>
      </w:tr>
      <w:tr w:rsidTr="007A64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1.4</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OHS hazards are identified and reported to the supervisor.</w:t>
            </w:r>
          </w:p>
        </w:tc>
      </w:tr>
      <w:tr w:rsidTr="007A64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2</w:t>
            </w:r>
          </w:p>
        </w:tc>
        <w:tc>
          <w:tcPr>
            <w:tcW w:w="3000" w:type="dxa"/>
            <w:vMerge w:val="restart"/>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Use application and personal protective equipment</w:t>
            </w:r>
          </w:p>
        </w:tc>
        <w:tc>
          <w:tcPr>
            <w:tcW w:w="500" w:type="dxa"/>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t>2.1</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rPr>
                <w:rStyle w:val="SpecialBold"/>
              </w:rPr>
              <w:t xml:space="preserve">Chemical </w:t>
            </w:r>
            <w:r w:rsidRPr="001C663D">
              <w:t>label is interpreted.</w:t>
            </w:r>
          </w:p>
        </w:tc>
      </w:tr>
      <w:tr w:rsidTr="007A64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2.2</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Application and personal protective equipment appropriate to the task are recognised and used, maintained and stored according to enterprise procedure and OHS requirements.</w:t>
            </w:r>
          </w:p>
        </w:tc>
      </w:tr>
      <w:tr w:rsidTr="007A64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2.3</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Measurement and decanting of substances comply with directions.</w:t>
            </w:r>
          </w:p>
        </w:tc>
      </w:tr>
      <w:tr w:rsidTr="007A64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t>2.4</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rPr>
                <w:rStyle w:val="SpecialBold"/>
              </w:rPr>
              <w:t xml:space="preserve">Safe </w:t>
            </w:r>
            <w:r w:rsidRPr="001C663D">
              <w:rPr>
                <w:rStyle w:val="SpecialBold"/>
              </w:rPr>
              <w:t xml:space="preserve">working practices </w:t>
            </w:r>
            <w:r w:rsidRPr="001C663D">
              <w:t>relevant to the situation are followed.</w:t>
            </w:r>
          </w:p>
        </w:tc>
      </w:tr>
      <w:tr w:rsidTr="007A64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2.5</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Procedures in the event of a chemical spill are identified and followed.</w:t>
            </w:r>
          </w:p>
        </w:tc>
      </w:tr>
      <w:tr w:rsidTr="007A64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3</w:t>
            </w:r>
          </w:p>
        </w:tc>
        <w:tc>
          <w:tcPr>
            <w:tcW w:w="3000" w:type="dxa"/>
            <w:vMerge w:val="restart"/>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Apply chemicals</w:t>
            </w:r>
          </w:p>
        </w:tc>
        <w:tc>
          <w:tcPr>
            <w:tcW w:w="500" w:type="dxa"/>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t>3.1</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rPr>
                <w:rStyle w:val="SpecialBold"/>
              </w:rPr>
              <w:t xml:space="preserve">Hazards </w:t>
            </w:r>
            <w:r w:rsidRPr="001C663D">
              <w:t>are identified and associated risks recognised.</w:t>
            </w:r>
          </w:p>
        </w:tc>
      </w:tr>
      <w:tr w:rsidTr="007A64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3.2</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Requirements for application equipment to accurately and effectively apply the required dose of the chemical to the target are followed.</w:t>
            </w:r>
          </w:p>
        </w:tc>
      </w:tr>
      <w:tr w:rsidTr="007A64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3.3</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Safe working practices relevant to the situation are followed.</w:t>
            </w:r>
          </w:p>
        </w:tc>
      </w:tr>
      <w:tr w:rsidTr="007A64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4</w:t>
            </w:r>
          </w:p>
        </w:tc>
        <w:tc>
          <w:tcPr>
            <w:tcW w:w="3000" w:type="dxa"/>
            <w:vMerge w:val="restart"/>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Follow instructions to empty and clean equipme</w:t>
            </w:r>
            <w:r w:rsidRPr="001C663D">
              <w:t>nt and containers according to directions</w:t>
            </w: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4.1</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Instructions for clean-up are identified.</w:t>
            </w:r>
          </w:p>
        </w:tc>
      </w:tr>
      <w:tr w:rsidTr="007A64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4.2</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Equipment and clean up methods using appropriate </w:t>
            </w:r>
            <w:r w:rsidRPr="001C663D">
              <w:rPr>
                <w:rStyle w:val="SpecialBold"/>
              </w:rPr>
              <w:t xml:space="preserve">tools </w:t>
            </w:r>
            <w:r w:rsidRPr="001C663D">
              <w:t>are followed.</w:t>
            </w:r>
          </w:p>
        </w:tc>
      </w:tr>
      <w:tr w:rsidTr="007A64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4.3</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Instructions for disposal of containers and unused chemical or biological agents are identified.</w:t>
            </w:r>
          </w:p>
        </w:tc>
      </w:tr>
      <w:tr w:rsidTr="007A64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5</w:t>
            </w:r>
          </w:p>
        </w:tc>
        <w:tc>
          <w:tcPr>
            <w:tcW w:w="3000" w:type="dxa"/>
            <w:vMerge w:val="restart"/>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Complete chemical records</w:t>
            </w: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5.1</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Chemical inventory is recorded as instructed and as required by regulations.</w:t>
            </w:r>
          </w:p>
        </w:tc>
      </w:tr>
      <w:tr w:rsidTr="007A64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5.2</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Chemical </w:t>
            </w:r>
            <w:r w:rsidRPr="001C663D">
              <w:rPr>
                <w:rStyle w:val="SpecialBold"/>
              </w:rPr>
              <w:t xml:space="preserve">application details </w:t>
            </w:r>
            <w:r w:rsidRPr="001C663D">
              <w:t>are reported as instructed and as required by regulations.</w:t>
            </w:r>
          </w:p>
        </w:tc>
      </w:tr>
      <w:tr w:rsidTr="007A64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6</w:t>
            </w:r>
          </w:p>
        </w:tc>
        <w:tc>
          <w:tcPr>
            <w:tcW w:w="3000" w:type="dxa"/>
            <w:vMerge w:val="restart"/>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Transport, handle and store chemicals according to instructions and legislative requirements</w:t>
            </w: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6.1</w:t>
            </w:r>
          </w:p>
        </w:tc>
        <w:tc>
          <w:tcPr>
            <w:tcW w:w="51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Transport, handling and storage requirements for chemicals used are recognised and followed.</w:t>
            </w:r>
          </w:p>
        </w:tc>
      </w:tr>
      <w:tr w:rsidTr="007A64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6</w:t>
            </w:r>
            <w:r w:rsidRPr="001C663D">
              <w:t>.2</w:t>
            </w:r>
          </w:p>
        </w:tc>
        <w:tc>
          <w:tcPr>
            <w:tcW w:w="5100" w:type="dxa"/>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t>Requirements for storage of chemicals at the workplace are recognised and followed.</w:t>
            </w:r>
          </w:p>
        </w:tc>
      </w:tr>
    </w:tbl>
    <w:p w:rsidR="00000000" w:rsidRPr="001C663D" w:rsidP="001C663D">
      <w:pPr>
        <w:pStyle w:val="BodyText"/>
      </w:pPr>
    </w:p>
    <w:p w:rsidR="00000000" w:rsidRPr="001C663D" w:rsidP="001C663D">
      <w:pPr>
        <w:pStyle w:val="AllowPageBreak"/>
      </w:pPr>
    </w:p>
    <w:p w:rsidR="00000000" w:rsidRPr="001C663D" w:rsidP="001C663D">
      <w:pPr>
        <w:pStyle w:val="Heading1"/>
      </w:pPr>
      <w:bookmarkStart w:id="9" w:name="O_325570"/>
      <w:bookmarkEnd w:id="9"/>
      <w:r w:rsidRPr="001C663D">
        <w:t>Required Skills and Knowledge</w:t>
      </w:r>
    </w:p>
    <w:p w:rsidR="00000000" w:rsidRPr="001C663D" w:rsidP="001C663D">
      <w:pPr>
        <w:pStyle w:val="BodyText"/>
      </w:pPr>
      <w:r w:rsidRPr="001C663D">
        <w:t>Not applicable.</w:t>
      </w:r>
    </w:p>
    <w:p w:rsidR="00000000" w:rsidRPr="001C663D" w:rsidP="001C663D">
      <w:pPr>
        <w:pStyle w:val="AllowPageBreak"/>
      </w:pPr>
    </w:p>
    <w:p w:rsidR="00000000" w:rsidRPr="001C663D" w:rsidP="001C663D">
      <w:pPr>
        <w:pStyle w:val="Heading1"/>
      </w:pPr>
      <w:bookmarkStart w:id="10" w:name="O_325569"/>
      <w:bookmarkEnd w:id="10"/>
      <w:r w:rsidRPr="001C663D">
        <w:t>Evidence Guide</w:t>
      </w:r>
    </w:p>
    <w:tbl>
      <w:tblPr>
        <w:tblW w:w="0" w:type="auto"/>
        <w:tblLayout w:type="fixed"/>
        <w:tblCellMar>
          <w:left w:w="62" w:type="dxa"/>
          <w:right w:w="62" w:type="dxa"/>
        </w:tblCellMar>
        <w:tblLook w:val="0000"/>
      </w:tblPr>
      <w:tblGrid>
        <w:gridCol w:w="4500"/>
        <w:gridCol w:w="4500"/>
      </w:tblGrid>
      <w:tr w:rsidTr="007A64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C663D">
            <w:pPr>
              <w:pStyle w:val="BodyText"/>
              <w:rPr>
                <w:lang w:val="en-NZ"/>
              </w:rPr>
            </w:pPr>
          </w:p>
        </w:tc>
      </w:tr>
      <w:tr w:rsidTr="007A64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rPr>
                <w:rStyle w:val="SpecialBold"/>
              </w:rPr>
              <w:t>What evidence is required to demonstrate competence for this standard as a whole</w:t>
            </w:r>
            <w:r w:rsidRPr="001C663D">
              <w:t>?</w:t>
            </w:r>
          </w:p>
          <w:p w:rsidR="00000000" w:rsidRPr="001C663D" w:rsidP="001C663D">
            <w:pPr>
              <w:pStyle w:val="BodyText"/>
            </w:pPr>
            <w:r w:rsidRPr="001C663D">
              <w:t>Overall competence in this standard requires evidence that a person using chemicals in the workplace can use the correct equipment, apply the chemical correctly, record appli</w:t>
            </w:r>
            <w:r w:rsidRPr="001C663D">
              <w:t xml:space="preserve">cation, identify safety hazards and how to avoid them, and interpret and follow directions.  The ability to use chemicals in one workplace should be </w:t>
            </w:r>
            <w:r w:rsidRPr="001C663D">
              <w:rPr>
                <w:rStyle w:val="SpecialBold"/>
              </w:rPr>
              <w:t>transferable</w:t>
            </w:r>
            <w:r w:rsidRPr="001C663D">
              <w:t xml:space="preserve"> to another workplace.  </w:t>
            </w:r>
          </w:p>
          <w:p w:rsidR="00000000" w:rsidP="001C663D">
            <w:pPr>
              <w:pStyle w:val="BodyText"/>
              <w:rPr>
                <w:lang w:val="en-NZ"/>
              </w:rPr>
            </w:pPr>
            <w:r w:rsidRPr="001C663D">
              <w:t>For example, if a chemical is applied under close supervision on a pro</w:t>
            </w:r>
            <w:r w:rsidRPr="001C663D">
              <w:t xml:space="preserve">perty growing grain crops, it should be evident that a chemical could be applied on a property where fruit is grown following induction to the new workplace. </w:t>
            </w:r>
          </w:p>
        </w:tc>
      </w:tr>
      <w:tr w:rsidTr="007A64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C663D">
            <w:pPr>
              <w:pStyle w:val="BodyText"/>
              <w:rPr>
                <w:lang w:val="en-NZ"/>
              </w:rPr>
            </w:pP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rPr>
                <w:rStyle w:val="SpecialBold"/>
              </w:rPr>
              <w:t>What specific knowledge is needed to achieve the performance criteria</w:t>
            </w:r>
            <w:r w:rsidRPr="001C663D">
              <w:t>?</w:t>
            </w:r>
          </w:p>
        </w:tc>
        <w:tc>
          <w:tcPr>
            <w:tcW w:w="4500" w:type="dxa"/>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1C663D" w:rsidP="001C663D">
            <w:pPr>
              <w:pStyle w:val="BodyText"/>
            </w:pPr>
            <w:r w:rsidRPr="001C663D">
              <w:t>Environmental effe</w:t>
            </w:r>
            <w:r w:rsidRPr="001C663D">
              <w:t>cts of selected chemicals and how to minimise damaging effects of chemicals.</w:t>
            </w:r>
          </w:p>
          <w:p w:rsidR="00000000" w:rsidRPr="001C663D" w:rsidP="001C663D">
            <w:pPr>
              <w:pStyle w:val="BodyText"/>
            </w:pPr>
            <w:r w:rsidRPr="001C663D">
              <w:t>Different broad chemical types, e.g., insecticides, herbicides and fungicides and their mode of action symbols on the label.</w:t>
            </w:r>
          </w:p>
          <w:p w:rsidR="00000000" w:rsidRPr="001C663D" w:rsidP="001C663D">
            <w:pPr>
              <w:pStyle w:val="BodyText"/>
            </w:pPr>
            <w:r w:rsidRPr="001C663D">
              <w:t>Principles of Integrated Pest Management.</w:t>
            </w:r>
          </w:p>
          <w:p w:rsidR="00000000" w:rsidP="001C663D">
            <w:pPr>
              <w:pStyle w:val="BodyText"/>
              <w:rPr>
                <w:lang w:val="en-NZ"/>
              </w:rPr>
            </w:pPr>
            <w:r w:rsidRPr="001C663D">
              <w:t>Paths of ent</w:t>
            </w:r>
            <w:r w:rsidRPr="001C663D">
              <w:t xml:space="preserve">ry of poisons into the body and methods of limiting exposure.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t>Methods of minimising risk during application.</w:t>
            </w:r>
          </w:p>
          <w:p w:rsidR="00000000" w:rsidRPr="001C663D" w:rsidP="001C663D">
            <w:pPr>
              <w:pStyle w:val="BodyText"/>
            </w:pPr>
            <w:r w:rsidRPr="001C663D">
              <w:t>Personal protective equipment and how, when and why it should be used and stored.</w:t>
            </w:r>
          </w:p>
          <w:p w:rsidR="00000000" w:rsidRPr="001C663D" w:rsidP="001C663D">
            <w:pPr>
              <w:pStyle w:val="BodyText"/>
            </w:pPr>
            <w:r w:rsidRPr="001C663D">
              <w:t>Maintenance of personal protective equipment.</w:t>
            </w:r>
          </w:p>
          <w:p w:rsidR="00000000" w:rsidRPr="001C663D" w:rsidP="001C663D">
            <w:pPr>
              <w:pStyle w:val="BodyText"/>
            </w:pPr>
            <w:r w:rsidRPr="001C663D">
              <w:t>Relevant State o</w:t>
            </w:r>
            <w:r w:rsidRPr="001C663D">
              <w:t>r territory legislation, regulations and Codes of Practices with regard to hazardous substances or the use of chemicals.</w:t>
            </w:r>
          </w:p>
          <w:p w:rsidR="00000000" w:rsidRPr="001C663D" w:rsidP="001C663D">
            <w:pPr>
              <w:pStyle w:val="BodyText"/>
            </w:pPr>
            <w:r w:rsidRPr="001C663D">
              <w:t>Occupational Health and Safety concerning personal safety and safety of others in the workplace.</w:t>
            </w:r>
          </w:p>
          <w:p w:rsidR="00000000" w:rsidRPr="001C663D" w:rsidP="001C663D">
            <w:pPr>
              <w:pStyle w:val="BodyText"/>
            </w:pPr>
            <w:r w:rsidRPr="001C663D">
              <w:t>Use of chemicals as one tool of pest m</w:t>
            </w:r>
            <w:r w:rsidRPr="001C663D">
              <w:t>anagement.</w:t>
            </w:r>
          </w:p>
          <w:p w:rsidR="00000000" w:rsidRPr="001C663D" w:rsidP="001C663D">
            <w:pPr>
              <w:pStyle w:val="BodyText"/>
            </w:pPr>
            <w:r w:rsidRPr="001C663D">
              <w:t>Possible effects on health of bystanders/public in addition to applicators.</w:t>
            </w:r>
          </w:p>
          <w:p w:rsidR="00000000" w:rsidRPr="001C663D" w:rsidP="001C663D">
            <w:pPr>
              <w:pStyle w:val="BodyText"/>
            </w:pPr>
            <w:r w:rsidRPr="001C663D">
              <w:t>Weather conditions and means of assessing them in line with risks, and recognising when they become unsuitable for application to continue.</w:t>
            </w:r>
          </w:p>
          <w:p w:rsidR="00000000" w:rsidP="001C663D">
            <w:pPr>
              <w:pStyle w:val="BodyText"/>
              <w:rPr>
                <w:lang w:val="en-NZ"/>
              </w:rPr>
            </w:pPr>
            <w:r w:rsidRPr="001C663D">
              <w:t xml:space="preserve">Correct wearing/fit of personal protective equipment.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rPr>
                <w:rStyle w:val="SpecialBold"/>
              </w:rPr>
              <w:t>What specific skills are needed to achieve the performance criteria</w:t>
            </w:r>
            <w:r w:rsidRPr="001C663D">
              <w:t xml:space="preserve">? </w:t>
            </w:r>
          </w:p>
        </w:tc>
        <w:tc>
          <w:tcPr>
            <w:tcW w:w="4500" w:type="dxa"/>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t>To achieve the performance criteria, appropriate literacy and numeracy levels as well as some complementary skills are required</w:t>
            </w:r>
            <w:r w:rsidRPr="001C663D">
              <w:t xml:space="preserve">.  These include the ability to:    </w:t>
            </w:r>
          </w:p>
          <w:p w:rsidR="00000000" w:rsidRPr="001C663D" w:rsidP="001C663D">
            <w:pPr>
              <w:pStyle w:val="BodyText"/>
            </w:pPr>
            <w:r w:rsidRPr="001C663D">
              <w:t>Accurately interpret labels, record relevant information and measure application amounts</w:t>
            </w:r>
          </w:p>
          <w:p w:rsidR="00000000" w:rsidRPr="001C663D" w:rsidP="001C663D">
            <w:pPr>
              <w:pStyle w:val="BodyText"/>
            </w:pPr>
            <w:r w:rsidRPr="001C663D">
              <w:t>Work using a variety of chemical application tools and pieces of equipment that are suitable for the particular application task u</w:t>
            </w:r>
            <w:r w:rsidRPr="001C663D">
              <w:t>sing safe and environmentally responsible work practices.</w:t>
            </w:r>
          </w:p>
          <w:p w:rsidR="00000000" w:rsidP="001C663D">
            <w:pPr>
              <w:pStyle w:val="BodyText"/>
              <w:rPr>
                <w:lang w:val="en-NZ"/>
              </w:rPr>
            </w:pPr>
            <w:r w:rsidRPr="001C663D">
              <w:t xml:space="preserve">Respond to emergencies and apply first aid in the event of pesticide poisoning.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p>
        </w:tc>
      </w:tr>
      <w:tr w:rsidTr="007A64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rPr>
                <w:rStyle w:val="SpecialBold"/>
              </w:rPr>
              <w:t>What processes should be applied to this competency standard</w:t>
            </w:r>
            <w:r w:rsidRPr="001C663D">
              <w:t>?</w:t>
            </w:r>
          </w:p>
          <w:p w:rsidR="00000000" w:rsidP="001C663D">
            <w:pPr>
              <w:pStyle w:val="BodyText"/>
              <w:rPr>
                <w:lang w:val="en-NZ"/>
              </w:rPr>
            </w:pPr>
            <w:r w:rsidRPr="001C663D">
              <w:t xml:space="preserve">There are a number of processes that are learnt </w:t>
            </w:r>
            <w:r w:rsidRPr="001C663D">
              <w:t xml:space="preserve">throughout work and life, which are required in all jobs.  They are fundamental processes and generally transferable to other work functions.  Some of these are covered by the </w:t>
            </w:r>
            <w:r w:rsidRPr="001C663D">
              <w:rPr>
                <w:rStyle w:val="SpecialBold"/>
              </w:rPr>
              <w:t>key competencies</w:t>
            </w:r>
            <w:r w:rsidRPr="001C663D">
              <w:t>, although others may be added.  The questions below highlight h</w:t>
            </w:r>
            <w:r w:rsidRPr="001C663D">
              <w:t xml:space="preserve">ow these processes are applied in this competency standard.  Following each question a number in brackets indicates the level to which the key competency needs to be demonstrated where 0 = not required, 1 = perform the process,  2 = perform and administer </w:t>
            </w:r>
            <w:r w:rsidRPr="001C663D">
              <w:t xml:space="preserve">the process and 3 = perform, administer and design the process.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1. How can </w:t>
            </w:r>
            <w:r w:rsidRPr="001C663D">
              <w:rPr>
                <w:rStyle w:val="SpecialBold"/>
              </w:rPr>
              <w:t>communication of ideas and information</w:t>
            </w:r>
            <w:r w:rsidRPr="001C663D">
              <w:t xml:space="preserve"> (</w:t>
            </w:r>
            <w:r w:rsidRPr="001C663D">
              <w:rPr>
                <w:rStyle w:val="SpecialBold"/>
              </w:rPr>
              <w:t>1</w:t>
            </w:r>
            <w:r w:rsidRPr="001C663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Information about chemicals and how they will be applied and recorded may be communicated to work colleagues or the supervisor.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2. How can </w:t>
            </w:r>
            <w:r w:rsidRPr="001C663D">
              <w:rPr>
                <w:rStyle w:val="SpecialBold"/>
              </w:rPr>
              <w:t>information be collected</w:t>
            </w:r>
            <w:r w:rsidRPr="001C663D">
              <w:t xml:space="preserve">, </w:t>
            </w:r>
            <w:r w:rsidRPr="001C663D">
              <w:rPr>
                <w:rStyle w:val="SpecialBold"/>
              </w:rPr>
              <w:t>analysed and organised</w:t>
            </w:r>
            <w:r w:rsidRPr="001C663D">
              <w:t xml:space="preserve"> (</w:t>
            </w:r>
            <w:r w:rsidRPr="001C663D">
              <w:rPr>
                <w:rStyle w:val="SpecialBold"/>
              </w:rPr>
              <w:t>1</w:t>
            </w:r>
            <w:r w:rsidRPr="001C663D">
              <w:t xml:space="preserve">)?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Information may be collected and analysed from chemical labe</w:t>
            </w:r>
            <w:r w:rsidRPr="001C663D">
              <w:t xml:space="preserve">ls, MSDSs, operators manuals or from Codes of Practice and advisory materials outlining regulations relevant to chemical use.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3. How are </w:t>
            </w:r>
            <w:r w:rsidRPr="001C663D">
              <w:rPr>
                <w:rStyle w:val="SpecialBold"/>
              </w:rPr>
              <w:t>activities planned and organised</w:t>
            </w:r>
            <w:r w:rsidRPr="001C663D">
              <w:t xml:space="preserve"> (</w:t>
            </w:r>
            <w:r w:rsidRPr="001C663D">
              <w:rPr>
                <w:rStyle w:val="SpecialBold"/>
              </w:rPr>
              <w:t>1</w:t>
            </w:r>
            <w:r w:rsidRPr="001C663D">
              <w:t xml:space="preserve">)?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Recognising and using equipment, application and cleaning up of chemicals will require coordination of activities.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4. How can </w:t>
            </w:r>
            <w:r w:rsidRPr="001C663D">
              <w:rPr>
                <w:rStyle w:val="SpecialBold"/>
              </w:rPr>
              <w:t>team work</w:t>
            </w:r>
            <w:r w:rsidRPr="001C663D">
              <w:t xml:space="preserve"> (</w:t>
            </w:r>
            <w:r w:rsidRPr="001C663D">
              <w:rPr>
                <w:rStyle w:val="SpecialBold"/>
              </w:rPr>
              <w:t>1</w:t>
            </w:r>
            <w:r w:rsidRPr="001C663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Applying chemicals with others in the workplace or in conjunction with other team functions.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5. How</w:t>
            </w:r>
            <w:r w:rsidRPr="001C663D">
              <w:t xml:space="preserve"> can the use of </w:t>
            </w:r>
            <w:r w:rsidRPr="001C663D">
              <w:rPr>
                <w:rStyle w:val="SpecialBold"/>
              </w:rPr>
              <w:t>mathematical ideas and techniques</w:t>
            </w:r>
            <w:r w:rsidRPr="001C663D">
              <w:t xml:space="preserve"> (</w:t>
            </w:r>
            <w:r w:rsidRPr="001C663D">
              <w:rPr>
                <w:rStyle w:val="SpecialBold"/>
              </w:rPr>
              <w:t>1</w:t>
            </w:r>
            <w:r w:rsidRPr="001C663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Correctly measuring volume of chemical to apply, recording information and working out time periods before work can continue in the area.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6. How can </w:t>
            </w:r>
            <w:r w:rsidRPr="001C663D">
              <w:rPr>
                <w:rStyle w:val="SpecialBold"/>
              </w:rPr>
              <w:t>problem</w:t>
            </w:r>
            <w:r w:rsidRPr="001C663D">
              <w:t>-</w:t>
            </w:r>
            <w:r w:rsidRPr="001C663D">
              <w:rPr>
                <w:rStyle w:val="SpecialBold"/>
              </w:rPr>
              <w:t>solving skills</w:t>
            </w:r>
            <w:r w:rsidRPr="001C663D">
              <w:t xml:space="preserve"> (</w:t>
            </w:r>
            <w:r w:rsidRPr="001C663D">
              <w:rPr>
                <w:rStyle w:val="SpecialBold"/>
              </w:rPr>
              <w:t>1</w:t>
            </w:r>
            <w:r w:rsidRPr="001C663D">
              <w:t>) be applied?</w:t>
            </w:r>
            <w:r w:rsidRPr="001C663D">
              <w:t xml:space="preserve">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Taking action concerning faulty equipment may require problem solving.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7. How can the </w:t>
            </w:r>
            <w:r w:rsidRPr="001C663D">
              <w:rPr>
                <w:rStyle w:val="SpecialBold"/>
              </w:rPr>
              <w:t>use of technology</w:t>
            </w:r>
            <w:r w:rsidRPr="001C663D">
              <w:t xml:space="preserve"> (</w:t>
            </w:r>
            <w:r w:rsidRPr="001C663D">
              <w:rPr>
                <w:rStyle w:val="SpecialBold"/>
              </w:rPr>
              <w:t>1</w:t>
            </w:r>
            <w:r w:rsidRPr="001C663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Recording information may require technology to be used.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p>
        </w:tc>
      </w:tr>
      <w:tr w:rsidTr="007A64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rPr>
                <w:rStyle w:val="SpecialBold"/>
              </w:rPr>
              <w:t>What are the special assessment conditions for this competency standard</w:t>
            </w:r>
            <w:r w:rsidRPr="001C663D">
              <w:t>?</w:t>
            </w:r>
          </w:p>
          <w:p w:rsidR="00000000" w:rsidRPr="001C663D" w:rsidP="001C663D">
            <w:pPr>
              <w:pStyle w:val="BodyText"/>
            </w:pPr>
            <w:r w:rsidRPr="001C663D">
              <w:t xml:space="preserve">Where this competency standard is being used as part of an accreditation or licence for purchase or use of chemicals the assessor must meet the requirements of the issuing body. This </w:t>
            </w:r>
            <w:r w:rsidRPr="001C663D">
              <w:t>may include:</w:t>
            </w:r>
          </w:p>
          <w:p w:rsidR="00000000" w:rsidRPr="001C663D" w:rsidP="001C663D">
            <w:pPr>
              <w:pStyle w:val="BodyText"/>
            </w:pPr>
            <w:r w:rsidRPr="001C663D">
              <w:t>1. Accreditation with that issuing body</w:t>
            </w:r>
            <w:r w:rsidRPr="001C663D">
              <w:br/>
              <w:t xml:space="preserve">2. Maintenance of current competency in this and the following standards: </w:t>
            </w:r>
          </w:p>
          <w:p w:rsidR="00000000" w:rsidRPr="001C663D" w:rsidP="001C663D">
            <w:pPr>
              <w:pStyle w:val="BodyText"/>
            </w:pPr>
            <w:r w:rsidRPr="001C663D">
              <w:t xml:space="preserve">RTC3704A - Prepare and apply chemicals </w:t>
            </w:r>
          </w:p>
          <w:p w:rsidR="00000000" w:rsidRPr="001C663D" w:rsidP="001C663D">
            <w:pPr>
              <w:pStyle w:val="BodyText"/>
            </w:pPr>
            <w:r w:rsidRPr="001C663D">
              <w:t>RTC3705A - Transport, handle and store chemicals</w:t>
            </w:r>
          </w:p>
          <w:p w:rsidR="00000000" w:rsidRPr="001C663D" w:rsidP="001C663D">
            <w:pPr>
              <w:pStyle w:val="BodyText"/>
            </w:pPr>
            <w:r w:rsidRPr="001C663D">
              <w:t>RTC4702A - Minimise risks in the use of</w:t>
            </w:r>
            <w:r w:rsidRPr="001C663D">
              <w:t xml:space="preserve"> chemicals</w:t>
            </w:r>
          </w:p>
          <w:p w:rsidR="00000000" w:rsidRPr="001C663D" w:rsidP="001C663D">
            <w:pPr>
              <w:pStyle w:val="BodyText"/>
            </w:pPr>
            <w:r w:rsidRPr="001C663D">
              <w:t>RTC4703A - Plan and implement a chemical use program</w:t>
            </w:r>
          </w:p>
          <w:p w:rsidR="00000000" w:rsidP="001C663D">
            <w:pPr>
              <w:pStyle w:val="BodyText"/>
              <w:rPr>
                <w:lang w:val="en-NZ"/>
              </w:rPr>
            </w:pPr>
            <w:r w:rsidRPr="001C663D">
              <w:t xml:space="preserve">3. Involvement in professional development programs comprising technical and legislative updates on an annual basis. </w:t>
            </w:r>
          </w:p>
        </w:tc>
      </w:tr>
      <w:tr w:rsidTr="007A64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C663D">
            <w:pPr>
              <w:pStyle w:val="BodyText"/>
              <w:rPr>
                <w:lang w:val="en-NZ"/>
              </w:rPr>
            </w:pPr>
          </w:p>
        </w:tc>
      </w:tr>
      <w:tr w:rsidTr="007A64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rPr>
                <w:rStyle w:val="SpecialBold"/>
              </w:rPr>
              <w:t xml:space="preserve">Are there other competency standards that could be assessed </w:t>
            </w:r>
            <w:r w:rsidRPr="001C663D">
              <w:rPr>
                <w:rStyle w:val="SpecialBold"/>
              </w:rPr>
              <w:t>with this one</w:t>
            </w:r>
            <w:r w:rsidRPr="001C663D">
              <w:t>?</w:t>
            </w:r>
          </w:p>
          <w:p w:rsidR="00000000" w:rsidP="001C663D">
            <w:pPr>
              <w:pStyle w:val="BodyText"/>
              <w:rPr>
                <w:lang w:val="en-NZ"/>
              </w:rPr>
            </w:pPr>
            <w:r w:rsidRPr="001C663D">
              <w:t xml:space="preserve">This competency standard </w:t>
            </w:r>
            <w:r w:rsidRPr="001C663D">
              <w:rPr>
                <w:rStyle w:val="SpecialBold"/>
              </w:rPr>
              <w:t>could</w:t>
            </w:r>
            <w:r w:rsidRPr="001C663D">
              <w:t xml:space="preserve"> be assessed on its own or in combination with other competencies relevant to the job function. </w:t>
            </w:r>
          </w:p>
        </w:tc>
      </w:tr>
      <w:tr w:rsidTr="007A64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C663D">
            <w:pPr>
              <w:pStyle w:val="BodyText"/>
              <w:rPr>
                <w:lang w:val="en-NZ"/>
              </w:rPr>
            </w:pPr>
          </w:p>
        </w:tc>
      </w:tr>
      <w:tr w:rsidTr="007A64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t xml:space="preserve">There is essential information about </w:t>
            </w:r>
            <w:r w:rsidRPr="001C663D">
              <w:rPr>
                <w:rStyle w:val="SpecialBold"/>
              </w:rPr>
              <w:t>assessing this competency standard for consistent performance</w:t>
            </w:r>
            <w:r w:rsidRPr="001C663D">
              <w:t xml:space="preserve"> and </w:t>
            </w:r>
            <w:r w:rsidRPr="001C663D">
              <w:rPr>
                <w:rStyle w:val="SpecialBold"/>
              </w:rPr>
              <w:t xml:space="preserve">where </w:t>
            </w:r>
            <w:r w:rsidRPr="001C663D">
              <w:rPr>
                <w:rStyle w:val="SpecialBold"/>
              </w:rPr>
              <w:t>and how it may be assessed</w:t>
            </w:r>
            <w:r w:rsidRPr="001C663D">
              <w:t xml:space="preserve">, in the Assessment Guidelines for this Training Package.  All users of these competency standards must have </w:t>
            </w:r>
            <w:r w:rsidRPr="001C663D">
              <w:rPr>
                <w:rStyle w:val="SpecialBold"/>
              </w:rPr>
              <w:t>access</w:t>
            </w:r>
            <w:r w:rsidRPr="001C663D">
              <w:t xml:space="preserve"> to both the </w:t>
            </w:r>
            <w:r w:rsidRPr="001C663D">
              <w:rPr>
                <w:rStyle w:val="SpecialBold"/>
              </w:rPr>
              <w:t>Assessment Guidelines</w:t>
            </w:r>
            <w:r w:rsidRPr="001C663D">
              <w:t xml:space="preserve"> and the relevant </w:t>
            </w:r>
            <w:r w:rsidRPr="001C663D">
              <w:rPr>
                <w:rStyle w:val="SpecialBold"/>
              </w:rPr>
              <w:t>Sector Booklet</w:t>
            </w:r>
            <w:r w:rsidRPr="001C663D">
              <w:t xml:space="preserve">. </w:t>
            </w:r>
          </w:p>
        </w:tc>
      </w:tr>
    </w:tbl>
    <w:p w:rsidR="00000000" w:rsidRPr="001C663D" w:rsidP="001C663D">
      <w:pPr>
        <w:pStyle w:val="BodyText"/>
      </w:pPr>
    </w:p>
    <w:p w:rsidR="00000000" w:rsidRPr="001C663D" w:rsidP="001C663D">
      <w:pPr>
        <w:pStyle w:val="AllowPageBreak"/>
      </w:pPr>
    </w:p>
    <w:p w:rsidR="00000000" w:rsidRPr="001C663D" w:rsidP="001C663D">
      <w:pPr>
        <w:pStyle w:val="Heading1"/>
      </w:pPr>
      <w:bookmarkStart w:id="11" w:name="O_325568"/>
      <w:bookmarkEnd w:id="11"/>
      <w:r w:rsidRPr="001C663D">
        <w:t>Range Statement</w:t>
      </w:r>
    </w:p>
    <w:tbl>
      <w:tblPr>
        <w:tblW w:w="0" w:type="auto"/>
        <w:tblLayout w:type="fixed"/>
        <w:tblCellMar>
          <w:left w:w="62" w:type="dxa"/>
          <w:right w:w="62" w:type="dxa"/>
        </w:tblCellMar>
        <w:tblLook w:val="0000"/>
      </w:tblPr>
      <w:tblGrid>
        <w:gridCol w:w="4500"/>
        <w:gridCol w:w="4500"/>
      </w:tblGrid>
      <w:tr w:rsidTr="007A64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C663D" w:rsidP="001C663D">
            <w:pPr>
              <w:pStyle w:val="BodyText"/>
            </w:pPr>
            <w:r w:rsidRPr="001C663D">
              <w:rPr>
                <w:rStyle w:val="SpecialBold"/>
              </w:rPr>
              <w:t>Range of V</w:t>
            </w:r>
            <w:r w:rsidRPr="001C663D">
              <w:rPr>
                <w:rStyle w:val="SpecialBold"/>
              </w:rPr>
              <w:t>ariables</w:t>
            </w:r>
          </w:p>
          <w:p w:rsidR="00000000" w:rsidP="001C663D">
            <w:pPr>
              <w:pStyle w:val="BodyText"/>
              <w:rPr>
                <w:lang w:val="en-NZ"/>
              </w:rPr>
            </w:pPr>
            <w:r w:rsidRPr="001C663D">
              <w:t>The Range of Variables explains the contexts within which the performance and knowledge requirements of this standard may be assessed.  The scope of variables chosen in training and assessment requirements may depend on the work situations availab</w:t>
            </w:r>
            <w:r w:rsidRPr="001C663D">
              <w:t>le</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What </w:t>
            </w:r>
            <w:r w:rsidRPr="001C663D">
              <w:rPr>
                <w:rStyle w:val="SpecialBold"/>
              </w:rPr>
              <w:t>pre and post operational checks</w:t>
            </w:r>
            <w:r w:rsidRPr="001C663D">
              <w:t xml:space="preserve"> might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Checks may be made to weather conditions (e.g., wind), nozzles, hoses, regulators/gauges, respirator cartridges, drench, and protective clothing and equipment.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What types of </w:t>
            </w:r>
            <w:r w:rsidRPr="001C663D">
              <w:rPr>
                <w:rStyle w:val="SpecialBold"/>
              </w:rPr>
              <w:t>application equipment</w:t>
            </w:r>
            <w:r w:rsidRPr="001C663D">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Knapsacks or hand held pneumatic sprayers, drench guns, spot on applicators, syringes, or other equipment relevant to the workplace.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What </w:t>
            </w:r>
            <w:r w:rsidRPr="001C663D">
              <w:rPr>
                <w:rStyle w:val="SpecialBold"/>
              </w:rPr>
              <w:t>personal protective equipment</w:t>
            </w:r>
            <w:r w:rsidRPr="001C663D">
              <w:t xml:space="preserve"> might be relevant to this standa</w:t>
            </w:r>
            <w:r w:rsidRPr="001C663D">
              <w:t xml:space="preserve">rd?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Personal equipment may include boots, overalls, chemical resistant gloves, aprons, face shields, respirators or hats.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Which </w:t>
            </w:r>
            <w:r w:rsidRPr="001C663D">
              <w:rPr>
                <w:rStyle w:val="SpecialBold"/>
              </w:rPr>
              <w:t>chemicals</w:t>
            </w:r>
            <w:r w:rsidRPr="001C663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Chemicals may include herbicides, insecticides, fungicides, algaecides, growth r</w:t>
            </w:r>
            <w:r w:rsidRPr="001C663D">
              <w:t xml:space="preserve">egulators, growth promotants, bio-agents or vaccines.  Excludes application of S6 and S7 chemicals.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What </w:t>
            </w:r>
            <w:r w:rsidRPr="001C663D">
              <w:rPr>
                <w:rStyle w:val="SpecialBold"/>
              </w:rPr>
              <w:t>safe working practices</w:t>
            </w:r>
            <w:r w:rsidRPr="001C663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Safe working practices may include procedures for handling, transporting and storing chemic</w:t>
            </w:r>
            <w:r w:rsidRPr="001C663D">
              <w:t xml:space="preserve">als, selecting and using personal protective clothing and equipment, safe operation of machinery and equipment, safe procedures for applying chemicals and following manufacturers instructions.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What </w:t>
            </w:r>
            <w:r w:rsidRPr="001C663D">
              <w:rPr>
                <w:rStyle w:val="SpecialBold"/>
              </w:rPr>
              <w:t>legislation or regulations</w:t>
            </w:r>
            <w:r w:rsidRPr="001C663D">
              <w:t xml:space="preserve"> may be relevant to this stand</w:t>
            </w:r>
            <w:r w:rsidRPr="001C663D">
              <w:t xml:space="preserve">ard?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Legislation may include Pesticides Acts, Occupational Health and Safety Acts and associated Hazardous Substances Regulations/ Codes of Practice, Dangerous Goods Acts, Poisons Schedule or Protection of the Environment Acts.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What </w:t>
            </w:r>
            <w:r w:rsidRPr="001C663D">
              <w:rPr>
                <w:rStyle w:val="SpecialBold"/>
              </w:rPr>
              <w:t>procedures</w:t>
            </w:r>
            <w:r w:rsidRPr="001C663D">
              <w:t xml:space="preserve"> may be fo</w:t>
            </w:r>
            <w:r w:rsidRPr="001C663D">
              <w:t xml:space="preserve">llowed in the event of a spill?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May include procedures according to the label, Material Safety Data Sheets (MSDSs) or legislation.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What </w:t>
            </w:r>
            <w:r w:rsidRPr="001C663D">
              <w:rPr>
                <w:rStyle w:val="SpecialBold"/>
              </w:rPr>
              <w:t>hazards</w:t>
            </w:r>
            <w:r w:rsidRPr="001C663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Hazards will be listed on labels and the MSDSs for the chemical concerned </w:t>
            </w:r>
            <w:r w:rsidRPr="001C663D">
              <w:t xml:space="preserve">and may include flammability, toxicity, health hazards, damage to non-target organisms, environmental damage or residues in food or feedstuffs.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What </w:t>
            </w:r>
            <w:r w:rsidRPr="001C663D">
              <w:rPr>
                <w:rStyle w:val="SpecialBold"/>
              </w:rPr>
              <w:t>tools</w:t>
            </w:r>
            <w:r w:rsidRPr="001C663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Tools may include hand tools, measuring jugs and cylinders, scales, syphoning equipment, drum rinse, and batching tank. </w:t>
            </w:r>
          </w:p>
        </w:tc>
      </w:tr>
      <w:tr w:rsidTr="007A64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 xml:space="preserve">What </w:t>
            </w:r>
            <w:r w:rsidRPr="001C663D">
              <w:rPr>
                <w:rStyle w:val="SpecialBold"/>
              </w:rPr>
              <w:t>application details</w:t>
            </w:r>
            <w:r w:rsidRPr="001C663D">
              <w:t xml:space="preserve"> may be recorded as part of this standard? </w:t>
            </w:r>
          </w:p>
        </w:tc>
        <w:tc>
          <w:tcPr>
            <w:tcW w:w="4500" w:type="dxa"/>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Details such as time, date, quantity and type of chemical, weather</w:t>
            </w:r>
            <w:r w:rsidRPr="001C663D">
              <w:t xml:space="preserve">, application equipment, host and pest, accidents or dangerous occurrences may be recorded or must be recorded where required by legislation. </w:t>
            </w:r>
          </w:p>
        </w:tc>
      </w:tr>
      <w:tr w:rsidTr="007A64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C663D">
            <w:pPr>
              <w:pStyle w:val="BodyText"/>
              <w:rPr>
                <w:lang w:val="en-NZ"/>
              </w:rPr>
            </w:pPr>
            <w:r w:rsidRPr="001C663D">
              <w:t>For more information on contexts, environment and variables for training and assessment, refer to the Sector Boo</w:t>
            </w:r>
            <w:r w:rsidRPr="001C663D">
              <w:t xml:space="preserve">klet. </w:t>
            </w:r>
          </w:p>
        </w:tc>
      </w:tr>
      <w:tr w:rsidTr="007A64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C663D" w:rsidP="001C663D">
            <w:pPr>
              <w:pStyle w:val="BodyText"/>
            </w:pPr>
          </w:p>
        </w:tc>
      </w:tr>
    </w:tbl>
    <w:p w:rsidR="00000000" w:rsidRPr="001C663D" w:rsidP="001C663D">
      <w:pPr>
        <w:pStyle w:val="BodyText"/>
      </w:pPr>
    </w:p>
    <w:p w:rsidR="00000000" w:rsidRPr="001C663D" w:rsidP="001C663D">
      <w:pPr>
        <w:pStyle w:val="AllowPageBreak"/>
      </w:pPr>
    </w:p>
    <w:p w:rsidR="00000000" w:rsidRPr="001C663D" w:rsidP="001C663D">
      <w:pPr>
        <w:pStyle w:val="Heading1"/>
      </w:pPr>
      <w:bookmarkStart w:id="12" w:name="O_325566"/>
      <w:bookmarkEnd w:id="12"/>
      <w:r w:rsidRPr="001C663D">
        <w:t>Unit Sector(s)</w:t>
      </w:r>
    </w:p>
    <w:p w:rsidR="00000000" w:rsidRPr="001C663D" w:rsidP="001C663D">
      <w:pPr>
        <w:pStyle w:val="BodyText"/>
      </w:pPr>
      <w:r w:rsidRPr="001C663D">
        <w:t>Not applicable.</w:t>
      </w:r>
    </w:p>
    <w:p w:rsidR="00000000" w:rsidRPr="001C663D" w:rsidP="001C663D"/>
    <w:sectPr w:rsidSect="001C66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64C1" w:rsidP="007A64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C1" w:rsidP="001C6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64C1" w:rsidP="001C66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A64C1" w:rsidP="001C66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64C1" w:rsidP="007A64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C1" w:rsidP="001C663D">
    <w:pPr>
      <w:pStyle w:val="Header"/>
      <w:framePr w:wrap="around"/>
    </w:pPr>
    <w:r>
      <w:fldChar w:fldCharType="begin"/>
    </w:r>
    <w:r>
      <w:instrText xml:space="preserve"> TITLE   \* MERGEFORMAT </w:instrText>
    </w:r>
    <w:r>
      <w:fldChar w:fldCharType="separate"/>
    </w:r>
    <w:r>
      <w:t>RTC2706A Apply chemicals under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64C1" w:rsidP="001C66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6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663D"/>
    <w:pPr>
      <w:spacing w:before="360" w:after="60"/>
      <w:outlineLvl w:val="0"/>
    </w:pPr>
    <w:rPr>
      <w:sz w:val="32"/>
    </w:rPr>
  </w:style>
  <w:style w:type="paragraph" w:styleId="Heading2">
    <w:name w:val="heading 2"/>
    <w:basedOn w:val="HeadingBase"/>
    <w:next w:val="BodyText"/>
    <w:link w:val="Heading2Char"/>
    <w:qFormat/>
    <w:rsid w:val="001C663D"/>
    <w:pPr>
      <w:keepLines/>
      <w:spacing w:before="240" w:after="120"/>
      <w:outlineLvl w:val="1"/>
    </w:pPr>
    <w:rPr>
      <w:sz w:val="28"/>
      <w:szCs w:val="40"/>
    </w:rPr>
  </w:style>
  <w:style w:type="paragraph" w:styleId="Heading3">
    <w:name w:val="heading 3"/>
    <w:basedOn w:val="HeadingBase"/>
    <w:next w:val="BodyText"/>
    <w:link w:val="Heading3Char"/>
    <w:qFormat/>
    <w:rsid w:val="001C663D"/>
    <w:pPr>
      <w:spacing w:before="180" w:after="120"/>
      <w:outlineLvl w:val="2"/>
    </w:pPr>
    <w:rPr>
      <w:spacing w:val="-10"/>
      <w:kern w:val="32"/>
    </w:rPr>
  </w:style>
  <w:style w:type="paragraph" w:styleId="Heading4">
    <w:name w:val="heading 4"/>
    <w:basedOn w:val="HeadingBase"/>
    <w:next w:val="BodyText"/>
    <w:link w:val="Heading4Char"/>
    <w:qFormat/>
    <w:rsid w:val="001C663D"/>
    <w:pPr>
      <w:spacing w:before="160" w:after="120"/>
      <w:outlineLvl w:val="3"/>
    </w:pPr>
    <w:rPr>
      <w:sz w:val="22"/>
    </w:rPr>
  </w:style>
  <w:style w:type="paragraph" w:styleId="Heading5">
    <w:name w:val="heading 5"/>
    <w:basedOn w:val="HeadingBase"/>
    <w:next w:val="Normal"/>
    <w:link w:val="Heading5Char"/>
    <w:qFormat/>
    <w:rsid w:val="001C663D"/>
    <w:pPr>
      <w:spacing w:before="80"/>
      <w:outlineLvl w:val="4"/>
    </w:pPr>
    <w:rPr>
      <w:color w:val="918585"/>
      <w:sz w:val="20"/>
    </w:rPr>
  </w:style>
  <w:style w:type="paragraph" w:styleId="Heading6">
    <w:name w:val="heading 6"/>
    <w:basedOn w:val="HeadingBase"/>
    <w:next w:val="Normal"/>
    <w:link w:val="Heading6Char"/>
    <w:qFormat/>
    <w:rsid w:val="001C663D"/>
    <w:pPr>
      <w:spacing w:before="60"/>
      <w:outlineLvl w:val="5"/>
    </w:pPr>
    <w:rPr>
      <w:color w:val="918585"/>
      <w:sz w:val="20"/>
    </w:rPr>
  </w:style>
  <w:style w:type="paragraph" w:styleId="Heading7">
    <w:name w:val="heading 7"/>
    <w:basedOn w:val="Normal"/>
    <w:next w:val="Normal"/>
    <w:link w:val="Heading7Char"/>
    <w:qFormat/>
    <w:rsid w:val="001C663D"/>
    <w:pPr>
      <w:ind w:left="720"/>
      <w:outlineLvl w:val="6"/>
    </w:pPr>
    <w:rPr>
      <w:i/>
    </w:rPr>
  </w:style>
  <w:style w:type="paragraph" w:styleId="Heading8">
    <w:name w:val="heading 8"/>
    <w:basedOn w:val="Normal"/>
    <w:next w:val="Normal"/>
    <w:link w:val="Heading8Char"/>
    <w:qFormat/>
    <w:rsid w:val="001C663D"/>
    <w:pPr>
      <w:ind w:left="720"/>
      <w:outlineLvl w:val="7"/>
    </w:pPr>
    <w:rPr>
      <w:i/>
    </w:rPr>
  </w:style>
  <w:style w:type="paragraph" w:styleId="Heading9">
    <w:name w:val="heading 9"/>
    <w:basedOn w:val="Normal"/>
    <w:next w:val="Normal"/>
    <w:link w:val="Heading9Char"/>
    <w:qFormat/>
    <w:rsid w:val="001C663D"/>
    <w:pPr>
      <w:ind w:left="720"/>
      <w:outlineLvl w:val="8"/>
    </w:pPr>
    <w:rPr>
      <w:i/>
    </w:rPr>
  </w:style>
  <w:style w:type="character" w:default="1" w:styleId="DefaultParagraphFont">
    <w:name w:val="Default Paragraph Font"/>
    <w:uiPriority w:val="1"/>
    <w:unhideWhenUsed/>
    <w:rsid w:val="001C6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63D"/>
  </w:style>
  <w:style w:type="character" w:customStyle="1" w:styleId="Heading1Char">
    <w:name w:val="Heading 1 Char"/>
    <w:basedOn w:val="DefaultParagraphFont"/>
    <w:link w:val="Heading1"/>
    <w:rsid w:val="001C663D"/>
    <w:rPr>
      <w:rFonts w:ascii="Times New Roman" w:eastAsia="Times New Roman" w:hAnsi="Times New Roman" w:cs="Times New Roman"/>
      <w:b/>
      <w:sz w:val="32"/>
      <w:szCs w:val="20"/>
      <w:lang w:eastAsia="en-US"/>
    </w:rPr>
  </w:style>
  <w:style w:type="paragraph" w:styleId="BodyText">
    <w:name w:val="Body Text"/>
    <w:basedOn w:val="Normal"/>
    <w:link w:val="BodyTextChar"/>
    <w:rsid w:val="001C66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663D"/>
    <w:rPr>
      <w:rFonts w:ascii="Times New Roman" w:eastAsia="Times New Roman" w:hAnsi="Times New Roman" w:cs="Times New Roman"/>
      <w:sz w:val="24"/>
      <w:lang w:val="en-US" w:eastAsia="en-US"/>
    </w:rPr>
  </w:style>
  <w:style w:type="paragraph" w:styleId="Footer">
    <w:name w:val="footer"/>
    <w:basedOn w:val="Normal"/>
    <w:link w:val="FooterChar"/>
    <w:rsid w:val="001C6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63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C663D"/>
    <w:rPr>
      <w:b/>
      <w:spacing w:val="0"/>
    </w:rPr>
  </w:style>
  <w:style w:type="paragraph" w:styleId="Header">
    <w:name w:val="header"/>
    <w:basedOn w:val="Normal"/>
    <w:link w:val="HeaderChar"/>
    <w:rsid w:val="001C6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6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663D"/>
    <w:pPr>
      <w:spacing w:before="240" w:after="120"/>
      <w:outlineLvl w:val="0"/>
    </w:pPr>
    <w:rPr>
      <w:rFonts w:ascii="Times New Roman" w:hAnsi="Times New Roman"/>
      <w:b/>
      <w:sz w:val="28"/>
    </w:rPr>
  </w:style>
  <w:style w:type="paragraph" w:customStyle="1" w:styleId="AllowPageBreak">
    <w:name w:val="AllowPageBreak"/>
    <w:rsid w:val="001C66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6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6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66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663D"/>
    <w:rPr>
      <w:rFonts w:ascii="Courier New" w:eastAsia="Times New Roman" w:hAnsi="Courier New" w:cs="Times New Roman"/>
      <w:i/>
      <w:szCs w:val="20"/>
      <w:lang w:val="en-US" w:eastAsia="en-US"/>
    </w:rPr>
  </w:style>
  <w:style w:type="paragraph" w:customStyle="1" w:styleId="HeadingBase">
    <w:name w:val="Heading Base"/>
    <w:rsid w:val="001C6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63D"/>
    <w:pPr>
      <w:tabs>
        <w:tab w:val="right" w:leader="dot" w:pos="9072"/>
      </w:tabs>
      <w:ind w:left="567"/>
    </w:pPr>
    <w:rPr>
      <w:szCs w:val="22"/>
    </w:rPr>
  </w:style>
  <w:style w:type="paragraph" w:customStyle="1" w:styleId="TOCBase">
    <w:name w:val="TOC Base"/>
    <w:rsid w:val="001C6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63D"/>
    <w:pPr>
      <w:tabs>
        <w:tab w:val="right" w:leader="dot" w:pos="9072"/>
      </w:tabs>
      <w:spacing w:before="40" w:after="40"/>
      <w:ind w:left="284"/>
    </w:pPr>
    <w:rPr>
      <w:rFonts w:ascii="Times New Roman" w:hAnsi="Times New Roman"/>
    </w:rPr>
  </w:style>
  <w:style w:type="paragraph" w:styleId="TOC1">
    <w:name w:val="toc 1"/>
    <w:basedOn w:val="TOCBase"/>
    <w:next w:val="Normal"/>
    <w:rsid w:val="001C66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663D"/>
    <w:pPr>
      <w:spacing w:before="5040"/>
      <w:jc w:val="center"/>
    </w:pPr>
    <w:rPr>
      <w:sz w:val="48"/>
      <w:szCs w:val="72"/>
      <w:lang w:val="en-US"/>
    </w:rPr>
  </w:style>
  <w:style w:type="character" w:customStyle="1" w:styleId="TitleChar">
    <w:name w:val="Title Char"/>
    <w:basedOn w:val="DefaultParagraphFont"/>
    <w:link w:val="Title"/>
    <w:rsid w:val="001C6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63D"/>
    <w:pPr>
      <w:tabs>
        <w:tab w:val="left" w:pos="3600"/>
        <w:tab w:val="left" w:pos="3958"/>
      </w:tabs>
    </w:pPr>
  </w:style>
  <w:style w:type="paragraph" w:styleId="List">
    <w:name w:val="List"/>
    <w:basedOn w:val="BodyText"/>
    <w:next w:val="BodyText"/>
    <w:rsid w:val="001C663D"/>
    <w:pPr>
      <w:tabs>
        <w:tab w:val="left" w:pos="340"/>
      </w:tabs>
      <w:spacing w:before="60" w:after="60"/>
      <w:ind w:left="340" w:hanging="340"/>
    </w:pPr>
  </w:style>
  <w:style w:type="paragraph" w:styleId="ListBullet">
    <w:name w:val="List Bullet"/>
    <w:basedOn w:val="List"/>
    <w:rsid w:val="001C663D"/>
    <w:pPr>
      <w:numPr>
        <w:numId w:val="11"/>
      </w:numPr>
      <w:tabs>
        <w:tab w:val="clear" w:pos="340"/>
      </w:tabs>
      <w:spacing w:before="40" w:after="40"/>
    </w:pPr>
  </w:style>
  <w:style w:type="paragraph" w:customStyle="1" w:styleId="Note">
    <w:name w:val="Note"/>
    <w:basedOn w:val="BodyText"/>
    <w:rsid w:val="001C66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663D"/>
    <w:pPr>
      <w:framePr w:wrap="auto" w:hAnchor="text" w:y="6049"/>
    </w:pPr>
    <w:rPr>
      <w:color w:val="000000"/>
      <w:sz w:val="40"/>
    </w:rPr>
  </w:style>
  <w:style w:type="paragraph" w:customStyle="1" w:styleId="TOCTitle">
    <w:name w:val="TOCTitle"/>
    <w:basedOn w:val="Heading1"/>
    <w:rsid w:val="001C663D"/>
    <w:pPr>
      <w:spacing w:after="240"/>
      <w:jc w:val="center"/>
      <w:outlineLvl w:val="9"/>
    </w:pPr>
    <w:rPr>
      <w:caps/>
    </w:rPr>
  </w:style>
  <w:style w:type="paragraph" w:customStyle="1" w:styleId="Version">
    <w:name w:val="Version"/>
    <w:rsid w:val="001C66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663D"/>
    <w:pPr>
      <w:numPr>
        <w:numId w:val="12"/>
      </w:numPr>
      <w:tabs>
        <w:tab w:val="clear" w:pos="680"/>
      </w:tabs>
    </w:pPr>
  </w:style>
  <w:style w:type="paragraph" w:styleId="Index1">
    <w:name w:val="index 1"/>
    <w:basedOn w:val="Normal"/>
    <w:next w:val="Normal"/>
    <w:semiHidden/>
    <w:rsid w:val="001C663D"/>
    <w:pPr>
      <w:keepNext w:val="0"/>
      <w:tabs>
        <w:tab w:val="right" w:pos="4176"/>
      </w:tabs>
      <w:ind w:left="198" w:hanging="198"/>
    </w:pPr>
    <w:rPr>
      <w:rFonts w:ascii="Garamond" w:hAnsi="Garamond"/>
    </w:rPr>
  </w:style>
  <w:style w:type="paragraph" w:styleId="IndexHeading">
    <w:name w:val="index heading"/>
    <w:basedOn w:val="Normal"/>
    <w:next w:val="Index1"/>
    <w:semiHidden/>
    <w:rsid w:val="001C663D"/>
    <w:pPr>
      <w:spacing w:before="120" w:after="120"/>
    </w:pPr>
    <w:rPr>
      <w:rFonts w:ascii="Arial" w:hAnsi="Arial"/>
      <w:b/>
      <w:color w:val="918585"/>
      <w:sz w:val="24"/>
    </w:rPr>
  </w:style>
  <w:style w:type="paragraph" w:customStyle="1" w:styleId="Chapter">
    <w:name w:val="Chapter"/>
    <w:basedOn w:val="Normal"/>
    <w:rsid w:val="001C663D"/>
    <w:pPr>
      <w:spacing w:before="240"/>
    </w:pPr>
    <w:rPr>
      <w:rFonts w:ascii="Times New Roman" w:hAnsi="Times New Roman"/>
      <w:smallCaps/>
      <w:spacing w:val="80"/>
      <w:sz w:val="28"/>
    </w:rPr>
  </w:style>
  <w:style w:type="paragraph" w:customStyle="1" w:styleId="InChapter">
    <w:name w:val="InChapter"/>
    <w:basedOn w:val="Heading3"/>
    <w:rsid w:val="001C663D"/>
    <w:pPr>
      <w:spacing w:after="240"/>
      <w:outlineLvl w:val="9"/>
    </w:pPr>
    <w:rPr>
      <w:noProof/>
    </w:rPr>
  </w:style>
  <w:style w:type="paragraph" w:styleId="Index2">
    <w:name w:val="index 2"/>
    <w:basedOn w:val="Normal"/>
    <w:next w:val="Normal"/>
    <w:semiHidden/>
    <w:rsid w:val="001C663D"/>
    <w:pPr>
      <w:tabs>
        <w:tab w:val="right" w:pos="4176"/>
      </w:tabs>
      <w:ind w:left="568" w:hanging="284"/>
    </w:pPr>
    <w:rPr>
      <w:rFonts w:ascii="Garamond" w:hAnsi="Garamond"/>
    </w:rPr>
  </w:style>
  <w:style w:type="paragraph" w:customStyle="1" w:styleId="Byline">
    <w:name w:val="Byline"/>
    <w:rsid w:val="001C6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63D"/>
    <w:pPr>
      <w:tabs>
        <w:tab w:val="clear" w:pos="3600"/>
        <w:tab w:val="clear" w:pos="3958"/>
      </w:tabs>
      <w:jc w:val="right"/>
    </w:pPr>
  </w:style>
  <w:style w:type="character" w:styleId="Emphasis">
    <w:name w:val="Emphasis"/>
    <w:basedOn w:val="DefaultParagraphFont"/>
    <w:qFormat/>
    <w:rsid w:val="001C663D"/>
    <w:rPr>
      <w:i/>
    </w:rPr>
  </w:style>
  <w:style w:type="paragraph" w:styleId="Caption">
    <w:name w:val="caption"/>
    <w:basedOn w:val="BodyText"/>
    <w:next w:val="Normal"/>
    <w:qFormat/>
    <w:rsid w:val="001C663D"/>
    <w:pPr>
      <w:framePr w:w="2268" w:hSpace="181" w:vSpace="181" w:wrap="around" w:vAnchor="text" w:hAnchor="page" w:x="1135" w:y="285" w:anchorLock="1"/>
    </w:pPr>
    <w:rPr>
      <w:i/>
    </w:rPr>
  </w:style>
  <w:style w:type="paragraph" w:customStyle="1" w:styleId="MiniTOCTitle">
    <w:name w:val="MiniTOCTitle"/>
    <w:basedOn w:val="Heading4"/>
    <w:rsid w:val="001C663D"/>
    <w:pPr>
      <w:spacing w:before="240"/>
      <w:outlineLvl w:val="9"/>
    </w:pPr>
    <w:rPr>
      <w:noProof/>
      <w:sz w:val="24"/>
    </w:rPr>
  </w:style>
  <w:style w:type="paragraph" w:customStyle="1" w:styleId="MiniTOCItem">
    <w:name w:val="MiniTOCItem"/>
    <w:basedOn w:val="ListBullet"/>
    <w:rsid w:val="001C663D"/>
    <w:pPr>
      <w:numPr>
        <w:numId w:val="0"/>
      </w:numPr>
      <w:tabs>
        <w:tab w:val="right" w:leader="dot" w:pos="6521"/>
      </w:tabs>
      <w:spacing w:before="0" w:after="0"/>
    </w:pPr>
  </w:style>
  <w:style w:type="paragraph" w:customStyle="1" w:styleId="TOFTitle">
    <w:name w:val="TOFTitle"/>
    <w:basedOn w:val="TOCTitle"/>
    <w:rsid w:val="001C663D"/>
  </w:style>
  <w:style w:type="paragraph" w:styleId="TableofFigures">
    <w:name w:val="table of figures"/>
    <w:basedOn w:val="Normal"/>
    <w:next w:val="Normal"/>
    <w:semiHidden/>
    <w:rsid w:val="001C663D"/>
    <w:pPr>
      <w:tabs>
        <w:tab w:val="right" w:leader="dot" w:pos="9072"/>
      </w:tabs>
      <w:ind w:left="970" w:hanging="403"/>
    </w:pPr>
    <w:rPr>
      <w:rFonts w:ascii="Times New Roman" w:hAnsi="Times New Roman"/>
      <w:b/>
    </w:rPr>
  </w:style>
  <w:style w:type="paragraph" w:styleId="ListNumber">
    <w:name w:val="List Number"/>
    <w:basedOn w:val="List"/>
    <w:rsid w:val="001C663D"/>
    <w:pPr>
      <w:numPr>
        <w:numId w:val="9"/>
      </w:numPr>
    </w:pPr>
  </w:style>
  <w:style w:type="character" w:customStyle="1" w:styleId="WingdingSymbols">
    <w:name w:val="Wingding Symbols"/>
    <w:rsid w:val="001C663D"/>
    <w:rPr>
      <w:rFonts w:ascii="Wingdings" w:hAnsi="Wingdings"/>
    </w:rPr>
  </w:style>
  <w:style w:type="paragraph" w:customStyle="1" w:styleId="TableHeading">
    <w:name w:val="Table Heading"/>
    <w:basedOn w:val="HeadingBase"/>
    <w:rsid w:val="001C663D"/>
    <w:pPr>
      <w:keepLines/>
      <w:pBdr>
        <w:bottom w:val="single" w:sz="6" w:space="1" w:color="918585"/>
      </w:pBdr>
      <w:spacing w:before="240"/>
    </w:pPr>
  </w:style>
  <w:style w:type="character" w:customStyle="1" w:styleId="HotSpot">
    <w:name w:val="HotSpot"/>
    <w:rsid w:val="001C663D"/>
    <w:rPr>
      <w:color w:val="0033CC"/>
      <w:u w:val="none"/>
    </w:rPr>
  </w:style>
  <w:style w:type="paragraph" w:customStyle="1" w:styleId="BodyTextRight">
    <w:name w:val="Body Text Right"/>
    <w:basedOn w:val="BodyText"/>
    <w:rsid w:val="001C663D"/>
    <w:pPr>
      <w:spacing w:before="0" w:after="0"/>
      <w:jc w:val="right"/>
    </w:pPr>
  </w:style>
  <w:style w:type="paragraph" w:styleId="Index3">
    <w:name w:val="index 3"/>
    <w:basedOn w:val="ListNumber2"/>
    <w:next w:val="Normal"/>
    <w:semiHidden/>
    <w:rsid w:val="001C663D"/>
    <w:pPr>
      <w:numPr>
        <w:numId w:val="0"/>
      </w:numPr>
      <w:tabs>
        <w:tab w:val="right" w:leader="dot" w:pos="4176"/>
      </w:tabs>
    </w:pPr>
  </w:style>
  <w:style w:type="paragraph" w:styleId="ListNumber2">
    <w:name w:val="List Number 2"/>
    <w:basedOn w:val="List2"/>
    <w:rsid w:val="001C663D"/>
    <w:pPr>
      <w:numPr>
        <w:numId w:val="8"/>
      </w:numPr>
      <w:tabs>
        <w:tab w:val="clear" w:pos="1060"/>
      </w:tabs>
    </w:pPr>
  </w:style>
  <w:style w:type="paragraph" w:customStyle="1" w:styleId="MarginNote">
    <w:name w:val="Margin Note"/>
    <w:basedOn w:val="BodyText"/>
    <w:rsid w:val="001C6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6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663D"/>
    <w:rPr>
      <w:sz w:val="32"/>
    </w:rPr>
  </w:style>
  <w:style w:type="paragraph" w:customStyle="1" w:styleId="HeadingProcedure">
    <w:name w:val="Heading Procedure"/>
    <w:basedOn w:val="HeadingBase"/>
    <w:next w:val="Normal"/>
    <w:rsid w:val="001C663D"/>
    <w:pPr>
      <w:tabs>
        <w:tab w:val="left" w:pos="0"/>
      </w:tabs>
      <w:spacing w:before="120" w:after="60"/>
    </w:pPr>
    <w:rPr>
      <w:i/>
      <w:color w:val="918585"/>
      <w:sz w:val="22"/>
    </w:rPr>
  </w:style>
  <w:style w:type="paragraph" w:customStyle="1" w:styleId="TableBodyText">
    <w:name w:val="Table Body Text"/>
    <w:basedOn w:val="BodyText"/>
    <w:rsid w:val="001C663D"/>
    <w:pPr>
      <w:spacing w:before="60" w:after="60"/>
    </w:pPr>
  </w:style>
  <w:style w:type="paragraph" w:styleId="ListContinue">
    <w:name w:val="List Continue"/>
    <w:basedOn w:val="List"/>
    <w:rsid w:val="001C663D"/>
    <w:pPr>
      <w:ind w:firstLine="0"/>
    </w:pPr>
  </w:style>
  <w:style w:type="paragraph" w:customStyle="1" w:styleId="ListNote">
    <w:name w:val="List Note"/>
    <w:basedOn w:val="List"/>
    <w:rsid w:val="001C663D"/>
    <w:pPr>
      <w:pBdr>
        <w:top w:val="single" w:sz="6" w:space="2" w:color="918585"/>
        <w:bottom w:val="single" w:sz="6" w:space="2" w:color="918585"/>
      </w:pBdr>
      <w:tabs>
        <w:tab w:val="left" w:pos="1021"/>
      </w:tabs>
      <w:ind w:firstLine="0"/>
    </w:pPr>
  </w:style>
  <w:style w:type="paragraph" w:customStyle="1" w:styleId="Warning">
    <w:name w:val="Warning"/>
    <w:basedOn w:val="BodyText"/>
    <w:rsid w:val="001C663D"/>
    <w:pPr>
      <w:shd w:val="clear" w:color="auto" w:fill="D9D9D9"/>
      <w:tabs>
        <w:tab w:val="left" w:pos="992"/>
      </w:tabs>
      <w:ind w:left="119" w:right="119"/>
    </w:pPr>
    <w:rPr>
      <w:sz w:val="20"/>
    </w:rPr>
  </w:style>
  <w:style w:type="paragraph" w:customStyle="1" w:styleId="MarginIcons">
    <w:name w:val="Margin Icons"/>
    <w:basedOn w:val="BodyText"/>
    <w:rsid w:val="001C6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63D"/>
    <w:rPr>
      <w:rFonts w:ascii="Courier New" w:hAnsi="Courier New"/>
    </w:rPr>
  </w:style>
  <w:style w:type="paragraph" w:customStyle="1" w:styleId="NoteBullet">
    <w:name w:val="Note Bullet"/>
    <w:basedOn w:val="Note"/>
    <w:rsid w:val="001C663D"/>
    <w:pPr>
      <w:tabs>
        <w:tab w:val="clear" w:pos="680"/>
      </w:tabs>
      <w:spacing w:before="60" w:after="60"/>
    </w:pPr>
  </w:style>
  <w:style w:type="paragraph" w:customStyle="1" w:styleId="SubHeading2">
    <w:name w:val="SubHeading2"/>
    <w:basedOn w:val="HeadingBase"/>
    <w:rsid w:val="001C663D"/>
    <w:pPr>
      <w:spacing w:before="240" w:after="60"/>
    </w:pPr>
    <w:rPr>
      <w:sz w:val="20"/>
    </w:rPr>
  </w:style>
  <w:style w:type="paragraph" w:customStyle="1" w:styleId="SubHeading1">
    <w:name w:val="SubHeading1"/>
    <w:basedOn w:val="HeadingBase"/>
    <w:rsid w:val="001C663D"/>
    <w:pPr>
      <w:spacing w:before="240" w:after="60"/>
    </w:pPr>
    <w:rPr>
      <w:color w:val="918585"/>
      <w:sz w:val="22"/>
    </w:rPr>
  </w:style>
  <w:style w:type="paragraph" w:customStyle="1" w:styleId="SideHeading">
    <w:name w:val="Side Heading"/>
    <w:basedOn w:val="HeadingBase"/>
    <w:rsid w:val="001C6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63D"/>
    <w:pPr>
      <w:numPr>
        <w:numId w:val="10"/>
      </w:numPr>
    </w:pPr>
  </w:style>
  <w:style w:type="paragraph" w:styleId="PlainText">
    <w:name w:val="Plain Text"/>
    <w:basedOn w:val="Normal"/>
    <w:link w:val="PlainTextChar"/>
    <w:rsid w:val="001C663D"/>
    <w:rPr>
      <w:sz w:val="20"/>
    </w:rPr>
  </w:style>
  <w:style w:type="character" w:customStyle="1" w:styleId="PlainTextChar">
    <w:name w:val="Plain Text Char"/>
    <w:basedOn w:val="DefaultParagraphFont"/>
    <w:link w:val="PlainText"/>
    <w:rsid w:val="001C66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663D"/>
    <w:rPr>
      <w:b/>
      <w:smallCaps/>
    </w:rPr>
  </w:style>
  <w:style w:type="paragraph" w:customStyle="1" w:styleId="TableListNumber">
    <w:name w:val="Table List Number"/>
    <w:basedOn w:val="ListNumber"/>
    <w:rsid w:val="001C663D"/>
    <w:pPr>
      <w:numPr>
        <w:numId w:val="0"/>
      </w:numPr>
    </w:pPr>
  </w:style>
  <w:style w:type="paragraph" w:styleId="TOC4">
    <w:name w:val="toc 4"/>
    <w:basedOn w:val="TOCBase"/>
    <w:next w:val="Normal"/>
    <w:semiHidden/>
    <w:rsid w:val="001C663D"/>
    <w:pPr>
      <w:tabs>
        <w:tab w:val="right" w:leader="dot" w:pos="9071"/>
      </w:tabs>
      <w:ind w:left="1701"/>
    </w:pPr>
  </w:style>
  <w:style w:type="paragraph" w:customStyle="1" w:styleId="ListAlpha">
    <w:name w:val="List Alpha"/>
    <w:basedOn w:val="List"/>
    <w:rsid w:val="001C663D"/>
    <w:pPr>
      <w:numPr>
        <w:numId w:val="7"/>
      </w:numPr>
    </w:pPr>
  </w:style>
  <w:style w:type="paragraph" w:customStyle="1" w:styleId="ListAlpha2">
    <w:name w:val="List Alpha 2"/>
    <w:basedOn w:val="List2"/>
    <w:rsid w:val="001C663D"/>
    <w:pPr>
      <w:numPr>
        <w:numId w:val="6"/>
      </w:numPr>
    </w:pPr>
  </w:style>
  <w:style w:type="paragraph" w:styleId="List2">
    <w:name w:val="List 2"/>
    <w:basedOn w:val="BodyText"/>
    <w:rsid w:val="001C663D"/>
    <w:pPr>
      <w:tabs>
        <w:tab w:val="left" w:pos="680"/>
      </w:tabs>
      <w:spacing w:before="60" w:after="60"/>
      <w:ind w:left="680" w:hanging="340"/>
    </w:pPr>
  </w:style>
  <w:style w:type="paragraph" w:styleId="List3">
    <w:name w:val="List 3"/>
    <w:basedOn w:val="BodyText"/>
    <w:rsid w:val="001C663D"/>
    <w:pPr>
      <w:tabs>
        <w:tab w:val="left" w:pos="1021"/>
      </w:tabs>
      <w:spacing w:before="60" w:after="60"/>
      <w:ind w:left="1020" w:hanging="340"/>
    </w:pPr>
  </w:style>
  <w:style w:type="paragraph" w:styleId="List4">
    <w:name w:val="List 4"/>
    <w:basedOn w:val="BodyText"/>
    <w:rsid w:val="001C663D"/>
    <w:pPr>
      <w:tabs>
        <w:tab w:val="left" w:pos="1361"/>
      </w:tabs>
      <w:spacing w:before="60" w:after="60"/>
      <w:ind w:left="1361" w:hanging="340"/>
    </w:pPr>
  </w:style>
  <w:style w:type="paragraph" w:styleId="List5">
    <w:name w:val="List 5"/>
    <w:basedOn w:val="BodyText"/>
    <w:rsid w:val="001C663D"/>
    <w:pPr>
      <w:tabs>
        <w:tab w:val="left" w:pos="1701"/>
      </w:tabs>
      <w:spacing w:before="60" w:after="60"/>
      <w:ind w:left="1701" w:hanging="340"/>
    </w:pPr>
  </w:style>
  <w:style w:type="paragraph" w:styleId="ListBullet3">
    <w:name w:val="List Bullet 3"/>
    <w:basedOn w:val="List3"/>
    <w:rsid w:val="001C663D"/>
    <w:pPr>
      <w:numPr>
        <w:numId w:val="13"/>
      </w:numPr>
      <w:tabs>
        <w:tab w:val="clear" w:pos="1021"/>
      </w:tabs>
      <w:ind w:left="1037" w:hanging="357"/>
    </w:pPr>
  </w:style>
  <w:style w:type="paragraph" w:styleId="ListBullet4">
    <w:name w:val="List Bullet 4"/>
    <w:basedOn w:val="List4"/>
    <w:rsid w:val="001C663D"/>
    <w:pPr>
      <w:numPr>
        <w:numId w:val="1"/>
      </w:numPr>
    </w:pPr>
  </w:style>
  <w:style w:type="paragraph" w:styleId="ListBullet5">
    <w:name w:val="List Bullet 5"/>
    <w:basedOn w:val="List5"/>
    <w:rsid w:val="001C663D"/>
    <w:pPr>
      <w:numPr>
        <w:numId w:val="2"/>
      </w:numPr>
    </w:pPr>
  </w:style>
  <w:style w:type="paragraph" w:styleId="ListContinue2">
    <w:name w:val="List Continue 2"/>
    <w:basedOn w:val="List2"/>
    <w:rsid w:val="001C663D"/>
    <w:pPr>
      <w:ind w:firstLine="0"/>
    </w:pPr>
  </w:style>
  <w:style w:type="paragraph" w:styleId="ListContinue3">
    <w:name w:val="List Continue 3"/>
    <w:basedOn w:val="List3"/>
    <w:rsid w:val="001C663D"/>
    <w:pPr>
      <w:ind w:left="1021" w:firstLine="0"/>
    </w:pPr>
  </w:style>
  <w:style w:type="paragraph" w:styleId="ListContinue4">
    <w:name w:val="List Continue 4"/>
    <w:basedOn w:val="List4"/>
    <w:rsid w:val="001C663D"/>
    <w:pPr>
      <w:ind w:firstLine="0"/>
    </w:pPr>
  </w:style>
  <w:style w:type="paragraph" w:styleId="ListContinue5">
    <w:name w:val="List Continue 5"/>
    <w:basedOn w:val="List5"/>
    <w:rsid w:val="001C663D"/>
    <w:pPr>
      <w:ind w:firstLine="0"/>
    </w:pPr>
  </w:style>
  <w:style w:type="paragraph" w:styleId="ListNumber3">
    <w:name w:val="List Number 3"/>
    <w:basedOn w:val="List3"/>
    <w:rsid w:val="001C663D"/>
    <w:pPr>
      <w:numPr>
        <w:numId w:val="3"/>
      </w:numPr>
    </w:pPr>
  </w:style>
  <w:style w:type="paragraph" w:styleId="ListNumber4">
    <w:name w:val="List Number 4"/>
    <w:basedOn w:val="List4"/>
    <w:rsid w:val="001C663D"/>
    <w:pPr>
      <w:numPr>
        <w:numId w:val="4"/>
      </w:numPr>
    </w:pPr>
  </w:style>
  <w:style w:type="paragraph" w:styleId="ListNumber5">
    <w:name w:val="List Number 5"/>
    <w:basedOn w:val="List5"/>
    <w:rsid w:val="001C663D"/>
    <w:pPr>
      <w:numPr>
        <w:numId w:val="5"/>
      </w:numPr>
    </w:pPr>
  </w:style>
  <w:style w:type="paragraph" w:styleId="BlockText">
    <w:name w:val="Block Text"/>
    <w:basedOn w:val="Normal"/>
    <w:rsid w:val="001C663D"/>
    <w:pPr>
      <w:spacing w:after="120"/>
      <w:ind w:left="1440" w:right="1440"/>
    </w:pPr>
  </w:style>
  <w:style w:type="character" w:customStyle="1" w:styleId="Subscript">
    <w:name w:val="Subscript"/>
    <w:basedOn w:val="DefaultParagraphFont"/>
    <w:rsid w:val="001C663D"/>
    <w:rPr>
      <w:sz w:val="16"/>
      <w:vertAlign w:val="subscript"/>
    </w:rPr>
  </w:style>
  <w:style w:type="character" w:customStyle="1" w:styleId="Superscript">
    <w:name w:val="Superscript"/>
    <w:basedOn w:val="DefaultParagraphFont"/>
    <w:rsid w:val="001C663D"/>
    <w:rPr>
      <w:sz w:val="16"/>
      <w:vertAlign w:val="superscript"/>
    </w:rPr>
  </w:style>
  <w:style w:type="character" w:customStyle="1" w:styleId="Symbols">
    <w:name w:val="Symbols"/>
    <w:basedOn w:val="DefaultParagraphFont"/>
    <w:rsid w:val="001C663D"/>
    <w:rPr>
      <w:rFonts w:ascii="Symbol" w:hAnsi="Symbol"/>
    </w:rPr>
  </w:style>
  <w:style w:type="character" w:customStyle="1" w:styleId="MenuOptions">
    <w:name w:val="Menu Options"/>
    <w:basedOn w:val="DefaultParagraphFont"/>
    <w:rsid w:val="001C663D"/>
    <w:rPr>
      <w:rFonts w:ascii="Arial Narrow" w:hAnsi="Arial Narrow"/>
      <w:smallCaps/>
    </w:rPr>
  </w:style>
  <w:style w:type="character" w:customStyle="1" w:styleId="Buttons">
    <w:name w:val="Buttons"/>
    <w:basedOn w:val="DefaultParagraphFont"/>
    <w:rsid w:val="001C663D"/>
    <w:rPr>
      <w:b/>
    </w:rPr>
  </w:style>
  <w:style w:type="character" w:customStyle="1" w:styleId="Underlined">
    <w:name w:val="Underlined"/>
    <w:basedOn w:val="DefaultParagraphFont"/>
    <w:rsid w:val="001C663D"/>
    <w:rPr>
      <w:u w:val="single"/>
    </w:rPr>
  </w:style>
  <w:style w:type="paragraph" w:customStyle="1" w:styleId="TableBodyTextRight">
    <w:name w:val="Table Body Text Right"/>
    <w:basedOn w:val="TableBodyText"/>
    <w:rsid w:val="001C663D"/>
    <w:pPr>
      <w:widowControl w:val="0"/>
      <w:autoSpaceDE w:val="0"/>
      <w:autoSpaceDN w:val="0"/>
      <w:adjustRightInd w:val="0"/>
      <w:jc w:val="right"/>
    </w:pPr>
    <w:rPr>
      <w:rFonts w:cs="Arial"/>
      <w:szCs w:val="18"/>
    </w:rPr>
  </w:style>
  <w:style w:type="paragraph" w:customStyle="1" w:styleId="CopyrightText">
    <w:name w:val="Copyright Text"/>
    <w:basedOn w:val="BodyText"/>
    <w:rsid w:val="001C663D"/>
    <w:rPr>
      <w:sz w:val="18"/>
    </w:rPr>
  </w:style>
  <w:style w:type="paragraph" w:customStyle="1" w:styleId="BodySmallRight">
    <w:name w:val="Body Small Right"/>
    <w:basedOn w:val="BodyTextRight"/>
    <w:rsid w:val="001C663D"/>
    <w:rPr>
      <w:sz w:val="18"/>
      <w:szCs w:val="18"/>
    </w:rPr>
  </w:style>
  <w:style w:type="paragraph" w:customStyle="1" w:styleId="MarginEdition">
    <w:name w:val="Margin Edition"/>
    <w:basedOn w:val="MarginNote"/>
    <w:rsid w:val="001C663D"/>
    <w:pPr>
      <w:spacing w:before="0" w:after="0"/>
    </w:pPr>
    <w:rPr>
      <w:rFonts w:ascii="Times New Roman" w:hAnsi="Times New Roman"/>
      <w:color w:val="999999"/>
    </w:rPr>
  </w:style>
  <w:style w:type="paragraph" w:customStyle="1" w:styleId="Spacer">
    <w:name w:val="Spacer"/>
    <w:basedOn w:val="Normal"/>
    <w:rsid w:val="001C663D"/>
    <w:rPr>
      <w:sz w:val="2"/>
      <w:szCs w:val="2"/>
    </w:rPr>
  </w:style>
  <w:style w:type="character" w:customStyle="1" w:styleId="Small">
    <w:name w:val="Small"/>
    <w:basedOn w:val="DefaultParagraphFont"/>
    <w:rsid w:val="001C663D"/>
    <w:rPr>
      <w:sz w:val="16"/>
    </w:rPr>
  </w:style>
  <w:style w:type="paragraph" w:customStyle="1" w:styleId="WideTable">
    <w:name w:val="Wide Table"/>
    <w:basedOn w:val="Normal"/>
    <w:rsid w:val="001C663D"/>
    <w:pPr>
      <w:ind w:left="-1418"/>
    </w:pPr>
    <w:rPr>
      <w:sz w:val="2"/>
      <w:szCs w:val="2"/>
    </w:rPr>
  </w:style>
  <w:style w:type="character" w:styleId="PageNumber">
    <w:name w:val="page number"/>
    <w:basedOn w:val="DefaultParagraphFont"/>
    <w:rsid w:val="001C663D"/>
  </w:style>
  <w:style w:type="paragraph" w:styleId="Quote">
    <w:name w:val="Quote"/>
    <w:basedOn w:val="Heading1"/>
    <w:link w:val="QuoteChar"/>
    <w:qFormat/>
    <w:rsid w:val="001C663D"/>
    <w:rPr>
      <w:b w:val="0"/>
      <w:sz w:val="72"/>
      <w:szCs w:val="72"/>
      <w:lang w:val="en-NZ"/>
    </w:rPr>
  </w:style>
  <w:style w:type="character" w:customStyle="1" w:styleId="QuoteChar">
    <w:name w:val="Quote Char"/>
    <w:basedOn w:val="DefaultParagraphFont"/>
    <w:link w:val="Quote"/>
    <w:rsid w:val="001C6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63D"/>
    <w:pPr>
      <w:pageBreakBefore/>
    </w:pPr>
  </w:style>
  <w:style w:type="paragraph" w:customStyle="1" w:styleId="Border">
    <w:name w:val="Border"/>
    <w:basedOn w:val="Normal"/>
    <w:qFormat/>
    <w:rsid w:val="001C6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63D"/>
    <w:rPr>
      <w:b/>
      <w:bCs/>
      <w:i/>
      <w:iCs/>
      <w:color w:val="auto"/>
    </w:rPr>
  </w:style>
  <w:style w:type="paragraph" w:styleId="IntenseQuote">
    <w:name w:val="Intense Quote"/>
    <w:basedOn w:val="Normal"/>
    <w:next w:val="Normal"/>
    <w:link w:val="IntenseQuoteChar"/>
    <w:uiPriority w:val="30"/>
    <w:qFormat/>
    <w:rsid w:val="001C6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6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663D"/>
    <w:rPr>
      <w:smallCaps/>
      <w:color w:val="auto"/>
      <w:u w:val="single"/>
    </w:rPr>
  </w:style>
  <w:style w:type="character" w:styleId="IntenseReference">
    <w:name w:val="Intense Reference"/>
    <w:basedOn w:val="DefaultParagraphFont"/>
    <w:uiPriority w:val="32"/>
    <w:qFormat/>
    <w:rsid w:val="001C663D"/>
    <w:rPr>
      <w:b/>
      <w:bCs/>
      <w:smallCaps/>
      <w:color w:val="auto"/>
      <w:spacing w:val="5"/>
      <w:u w:val="single"/>
    </w:rPr>
  </w:style>
  <w:style w:type="paragraph" w:customStyle="1" w:styleId="2ColumnHeading">
    <w:name w:val="2Column Heading"/>
    <w:basedOn w:val="BodyText"/>
    <w:qFormat/>
    <w:rsid w:val="001C663D"/>
    <w:pPr>
      <w:spacing w:after="60"/>
      <w:ind w:left="-2268"/>
    </w:pPr>
    <w:rPr>
      <w:b/>
    </w:rPr>
  </w:style>
  <w:style w:type="paragraph" w:customStyle="1" w:styleId="Heading1TOC">
    <w:name w:val="Heading1 TOC"/>
    <w:basedOn w:val="Normal"/>
    <w:qFormat/>
    <w:rsid w:val="001C663D"/>
    <w:pPr>
      <w:spacing w:before="240" w:after="120"/>
    </w:pPr>
    <w:rPr>
      <w:rFonts w:ascii="Times New Roman" w:hAnsi="Times New Roman"/>
      <w:b/>
      <w:sz w:val="32"/>
    </w:rPr>
  </w:style>
  <w:style w:type="paragraph" w:customStyle="1" w:styleId="Heading2TOC">
    <w:name w:val="Heading2 TOC"/>
    <w:basedOn w:val="Normal"/>
    <w:qFormat/>
    <w:rsid w:val="001C663D"/>
    <w:pPr>
      <w:spacing w:before="240" w:after="60"/>
    </w:pPr>
    <w:rPr>
      <w:rFonts w:ascii="Times New Roman" w:hAnsi="Times New Roman"/>
      <w:b/>
      <w:sz w:val="28"/>
    </w:rPr>
  </w:style>
  <w:style w:type="character" w:customStyle="1" w:styleId="Underline">
    <w:name w:val="Underline"/>
    <w:basedOn w:val="DefaultParagraphFont"/>
    <w:qFormat/>
    <w:rsid w:val="001C663D"/>
    <w:rPr>
      <w:u w:val="single"/>
    </w:rPr>
  </w:style>
  <w:style w:type="character" w:customStyle="1" w:styleId="BoldandItalics">
    <w:name w:val="Bold and Italics"/>
    <w:qFormat/>
    <w:rsid w:val="001C663D"/>
    <w:rPr>
      <w:b/>
      <w:i/>
      <w:u w:val="none"/>
    </w:rPr>
  </w:style>
  <w:style w:type="paragraph" w:styleId="BalloonText">
    <w:name w:val="Balloon Text"/>
    <w:basedOn w:val="Normal"/>
    <w:link w:val="BalloonTextChar"/>
    <w:rsid w:val="001C663D"/>
    <w:rPr>
      <w:rFonts w:ascii="Tahoma" w:hAnsi="Tahoma" w:cs="Tahoma"/>
      <w:sz w:val="16"/>
      <w:szCs w:val="16"/>
    </w:rPr>
  </w:style>
  <w:style w:type="character" w:customStyle="1" w:styleId="BalloonTextChar">
    <w:name w:val="Balloon Text Char"/>
    <w:basedOn w:val="DefaultParagraphFont"/>
    <w:link w:val="BalloonText"/>
    <w:rsid w:val="001C66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66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66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1777</Words>
  <Characters>10371</Characters>
  <Application>Microsoft Office Word</Application>
  <DocSecurity>0</DocSecurity>
  <Lines>380</Lines>
  <Paragraphs>153</Paragraphs>
  <ScaleCrop>false</ScaleCrop>
  <Company>Author-it Software Corporation Ltd.</Company>
  <LinksUpToDate>false</LinksUpToDate>
  <CharactersWithSpaces>12067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RTC2706A Apply chemicals under supervision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2012-05-27T07:35:00Z</dcterms:created>
  <dcterms:modified xsi:type="dcterms:W3CDTF">2012-05-27T07:35:00Z</dcterms:modified>
</cp:coreProperties>
</file>