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AD9" w:rsidP="00DA2AD9">
      <w:pPr>
        <w:pStyle w:val="Title"/>
      </w:pPr>
      <w:r>
        <w:fldChar w:fldCharType="begin"/>
      </w:r>
      <w:r>
        <w:instrText xml:space="preserve"> TITLE   \* MERGEFORMAT </w:instrText>
      </w:r>
      <w:r>
        <w:fldChar w:fldCharType="separate"/>
      </w:r>
      <w:r>
        <w:t>RIIUND305A Recover underground equipment</w:t>
      </w:r>
      <w:r>
        <w:fldChar w:fldCharType="end"/>
      </w:r>
    </w:p>
    <w:p w:rsidR="00DA2AD9" w:rsidP="00DA2AD9">
      <w:pPr>
        <w:pStyle w:val="Version"/>
        <w:sectPr w:rsidSect="00C178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7801" w:rsidP="00C17801">
      <w:pPr>
        <w:pStyle w:val="SuperHeading"/>
      </w:pPr>
      <w:r w:rsidRPr="00C17801">
        <w:t>RIIUND305A Recover underground equipment</w:t>
      </w:r>
    </w:p>
    <w:p w:rsidR="00000000" w:rsidRPr="00C17801" w:rsidP="00C17801">
      <w:pPr>
        <w:pStyle w:val="Heading1"/>
      </w:pPr>
      <w:bookmarkStart w:id="1" w:name="O_134883"/>
      <w:bookmarkEnd w:id="1"/>
      <w:r w:rsidRPr="00C17801">
        <w:t>Modification History</w:t>
      </w:r>
    </w:p>
    <w:p w:rsidR="00000000" w:rsidRPr="00C17801" w:rsidP="00C17801">
      <w:pPr>
        <w:pStyle w:val="BodyText"/>
      </w:pPr>
      <w:r w:rsidRPr="00C17801">
        <w:t>Not applicable.</w:t>
      </w:r>
    </w:p>
    <w:p w:rsidR="00000000" w:rsidRPr="00C17801" w:rsidP="00C17801">
      <w:pPr>
        <w:pStyle w:val="AllowPageBreak"/>
      </w:pPr>
    </w:p>
    <w:p w:rsidR="00000000" w:rsidRPr="00C17801" w:rsidP="00C17801">
      <w:pPr>
        <w:pStyle w:val="Heading1"/>
      </w:pPr>
      <w:bookmarkStart w:id="2" w:name="O_134884"/>
      <w:bookmarkEnd w:id="2"/>
      <w:r w:rsidRPr="00C17801">
        <w:t>Unit Descriptor</w:t>
      </w:r>
    </w:p>
    <w:p w:rsidR="00000000" w:rsidRPr="00C17801" w:rsidP="00C17801">
      <w:pPr>
        <w:pStyle w:val="BodyText"/>
      </w:pPr>
      <w:r w:rsidRPr="00C17801">
        <w:t xml:space="preserve">This unit covers the recovery of underground equipment in the resources and infrastructure industries.  It includes planning </w:t>
      </w:r>
      <w:r w:rsidRPr="00C17801">
        <w:t>and preparing for operations, recovered of equipment and carrying out operator maintenance on recovery equipment/plant.  Licensing, legislative, regulatory and certification requirements that apply to this unit can vary between states, territories, and ind</w:t>
      </w:r>
      <w:r w:rsidRPr="00C17801">
        <w:t>ustry sectors.  Relevant information must be sourced prior to application of the unit.</w:t>
      </w:r>
    </w:p>
    <w:p w:rsidR="00000000" w:rsidRPr="00C17801" w:rsidP="00C17801">
      <w:pPr>
        <w:pStyle w:val="AllowPageBreak"/>
      </w:pPr>
    </w:p>
    <w:p w:rsidR="00000000" w:rsidRPr="00C17801" w:rsidP="00C17801">
      <w:pPr>
        <w:pStyle w:val="Heading1"/>
      </w:pPr>
      <w:bookmarkStart w:id="3" w:name="O_134885"/>
      <w:bookmarkEnd w:id="3"/>
      <w:r w:rsidRPr="00C17801">
        <w:t>Application of the Unit</w:t>
      </w:r>
    </w:p>
    <w:p w:rsidR="00000000" w:rsidRPr="00C17801" w:rsidP="00C17801">
      <w:pPr>
        <w:pStyle w:val="BodyText"/>
      </w:pPr>
      <w:r w:rsidRPr="00C17801">
        <w:t>This unit is appropriate for those working in an operational role at worksites within:</w:t>
      </w:r>
    </w:p>
    <w:p w:rsidR="00000000" w:rsidRPr="00C17801" w:rsidP="00C17801">
      <w:pPr>
        <w:pStyle w:val="ListBullet"/>
      </w:pPr>
      <w:r w:rsidRPr="00C17801">
        <w:t>Metalliferous mining</w:t>
      </w:r>
    </w:p>
    <w:p w:rsidR="00000000" w:rsidRPr="00C17801" w:rsidP="00C17801">
      <w:pPr>
        <w:pStyle w:val="AllowPageBreak"/>
      </w:pPr>
    </w:p>
    <w:p w:rsidR="00000000" w:rsidRPr="00C17801" w:rsidP="00C17801">
      <w:pPr>
        <w:pStyle w:val="Heading1"/>
      </w:pPr>
      <w:bookmarkStart w:id="4" w:name="O_134886"/>
      <w:bookmarkEnd w:id="4"/>
      <w:r w:rsidRPr="00C17801">
        <w:t>Licensing/Regulatory Information</w:t>
      </w:r>
    </w:p>
    <w:p w:rsidR="00000000" w:rsidRPr="00C17801" w:rsidP="00C17801">
      <w:pPr>
        <w:pStyle w:val="BodyText"/>
      </w:pPr>
      <w:r w:rsidRPr="00C17801">
        <w:t>Refer to Unit Descriptor.</w:t>
      </w:r>
    </w:p>
    <w:p w:rsidR="00000000" w:rsidRPr="00C17801" w:rsidP="00C17801">
      <w:pPr>
        <w:pStyle w:val="AllowPageBreak"/>
      </w:pPr>
    </w:p>
    <w:p w:rsidR="00000000" w:rsidRPr="00C17801" w:rsidP="00C17801">
      <w:pPr>
        <w:pStyle w:val="Heading1"/>
      </w:pPr>
      <w:bookmarkStart w:id="5" w:name="O_134887"/>
      <w:bookmarkEnd w:id="5"/>
      <w:r w:rsidRPr="00C17801">
        <w:t>Pre-Requisites</w:t>
      </w:r>
    </w:p>
    <w:p w:rsidR="00000000" w:rsidRPr="00C17801" w:rsidP="00C17801">
      <w:pPr>
        <w:pStyle w:val="BodyText"/>
      </w:pPr>
      <w:r w:rsidRPr="00C17801">
        <w:t>Not applicable.</w:t>
      </w:r>
    </w:p>
    <w:p w:rsidR="00000000" w:rsidRPr="00C17801" w:rsidP="00C17801">
      <w:pPr>
        <w:pStyle w:val="AllowPageBreak"/>
      </w:pPr>
    </w:p>
    <w:p w:rsidR="00000000" w:rsidRPr="00C17801" w:rsidP="00C17801">
      <w:pPr>
        <w:pStyle w:val="Heading1"/>
      </w:pPr>
      <w:bookmarkStart w:id="6" w:name="O_134888"/>
      <w:bookmarkEnd w:id="6"/>
      <w:r w:rsidRPr="00C17801">
        <w:t>Employability Skills Information</w:t>
      </w:r>
    </w:p>
    <w:p w:rsidR="00000000" w:rsidRPr="00C17801" w:rsidP="00C17801">
      <w:pPr>
        <w:pStyle w:val="BodyText"/>
      </w:pPr>
      <w:r w:rsidRPr="00C17801">
        <w:t>This unit contains employability skills.</w:t>
      </w:r>
    </w:p>
    <w:p w:rsidR="00000000" w:rsidRPr="00C17801" w:rsidP="00C17801">
      <w:pPr>
        <w:pStyle w:val="AllowPageBreak"/>
      </w:pPr>
    </w:p>
    <w:p w:rsidR="00000000" w:rsidRPr="00C17801" w:rsidP="00C17801">
      <w:pPr>
        <w:pStyle w:val="Heading1"/>
      </w:pPr>
      <w:bookmarkStart w:id="7" w:name="O_134889"/>
      <w:bookmarkEnd w:id="7"/>
      <w:r w:rsidRPr="00C17801">
        <w:t>Elements and Performance Criter</w:t>
      </w:r>
      <w:r w:rsidRPr="00C17801">
        <w:t>ia Pre-Content</w:t>
      </w:r>
    </w:p>
    <w:tbl>
      <w:tblPr>
        <w:tblW w:w="0" w:type="auto"/>
        <w:tblLayout w:type="fixed"/>
        <w:tblCellMar>
          <w:left w:w="62" w:type="dxa"/>
          <w:right w:w="62" w:type="dxa"/>
        </w:tblCellMar>
        <w:tblLook w:val="0000"/>
      </w:tblPr>
      <w:tblGrid>
        <w:gridCol w:w="2596"/>
        <w:gridCol w:w="5926"/>
      </w:tblGrid>
      <w:tr w:rsidTr="00DA2AD9">
        <w:tblPrEx>
          <w:tblW w:w="0" w:type="auto"/>
          <w:tblLayout w:type="fixed"/>
          <w:tblCellMar>
            <w:left w:w="62" w:type="dxa"/>
            <w:right w:w="62" w:type="dxa"/>
          </w:tblCellMar>
          <w:tblLook w:val="0000"/>
        </w:tblPrEx>
        <w:tc>
          <w:tcPr>
            <w:tcW w:w="2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t>Elements describe the essential outcomes of a unit of competency.</w:t>
            </w:r>
          </w:p>
        </w:tc>
        <w:tc>
          <w:tcPr>
            <w:tcW w:w="59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Performance criteria describe the performance needed to demonstrate achievement of the element. Where bold italicised text is used, further information is detailed in the requ</w:t>
            </w:r>
            <w:r w:rsidRPr="00C17801">
              <w:t>ired skills and knowledge section and the range statement. Assessment of performance is to be consistent with the evidence guide.</w:t>
            </w:r>
          </w:p>
        </w:tc>
      </w:tr>
    </w:tbl>
    <w:p w:rsidR="00000000" w:rsidRPr="00C17801" w:rsidP="00C17801">
      <w:pPr>
        <w:pStyle w:val="BodyText"/>
      </w:pPr>
    </w:p>
    <w:p w:rsidR="00000000" w:rsidRPr="00C17801" w:rsidP="00C17801">
      <w:pPr>
        <w:pStyle w:val="AllowPageBreak"/>
      </w:pPr>
    </w:p>
    <w:p w:rsidR="00000000" w:rsidRPr="00C17801" w:rsidP="00C17801">
      <w:pPr>
        <w:pStyle w:val="Heading1"/>
      </w:pPr>
      <w:bookmarkStart w:id="8" w:name="O_134890"/>
      <w:bookmarkEnd w:id="8"/>
      <w:r w:rsidRPr="00C17801">
        <w:t>Elements and Performance Criteria</w:t>
      </w:r>
    </w:p>
    <w:tbl>
      <w:tblPr>
        <w:tblW w:w="0" w:type="auto"/>
        <w:tblLayout w:type="fixed"/>
        <w:tblCellMar>
          <w:left w:w="62" w:type="dxa"/>
          <w:right w:w="62" w:type="dxa"/>
        </w:tblCellMar>
        <w:tblLook w:val="0000"/>
      </w:tblPr>
      <w:tblGrid>
        <w:gridCol w:w="3471"/>
        <w:gridCol w:w="5051"/>
      </w:tblGrid>
      <w:tr w:rsidTr="00DA2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PERFORMANCE CRITERIA</w:t>
            </w:r>
          </w:p>
        </w:tc>
      </w:tr>
      <w:tr w:rsidTr="00DA2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List"/>
              <w:rPr>
                <w:lang w:val="en-NZ"/>
              </w:rPr>
            </w:pPr>
            <w:r w:rsidRPr="00C17801">
              <w:t>1.</w:t>
            </w:r>
            <w:r w:rsidRPr="00C17801">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2"/>
            </w:pPr>
            <w:r w:rsidRPr="00C17801">
              <w:t>1.1.</w:t>
            </w:r>
            <w:r w:rsidRPr="00C17801">
              <w:tab/>
            </w:r>
            <w:r w:rsidRPr="00C17801">
              <w:t xml:space="preserve">Access, interpret and apply </w:t>
            </w:r>
            <w:r w:rsidRPr="00C17801">
              <w:rPr>
                <w:rStyle w:val="BoldandItalics"/>
              </w:rPr>
              <w:t>compliance documentation</w:t>
            </w:r>
            <w:r w:rsidRPr="00C17801">
              <w:t xml:space="preserve"> relevant to the work activity</w:t>
            </w:r>
          </w:p>
          <w:p w:rsidR="00000000" w:rsidRPr="00C17801" w:rsidP="00C17801">
            <w:pPr>
              <w:pStyle w:val="List2"/>
            </w:pPr>
            <w:r w:rsidRPr="00C17801">
              <w:t>1.2.</w:t>
            </w:r>
            <w:r w:rsidRPr="00C17801">
              <w:tab/>
              <w:t xml:space="preserve">Obtain, interpret and clarify </w:t>
            </w:r>
            <w:r w:rsidRPr="00C17801">
              <w:rPr>
                <w:rStyle w:val="BoldandItalics"/>
              </w:rPr>
              <w:t>details of the recovery requirements</w:t>
            </w:r>
          </w:p>
          <w:p w:rsidR="00000000" w:rsidRPr="00C17801" w:rsidP="00C17801">
            <w:pPr>
              <w:pStyle w:val="List2"/>
            </w:pPr>
            <w:r w:rsidRPr="00C17801">
              <w:t>1.3.</w:t>
            </w:r>
            <w:r w:rsidRPr="00C17801">
              <w:tab/>
              <w:t xml:space="preserve">Access, interpret and apply environmental, geological and survey data </w:t>
            </w:r>
          </w:p>
          <w:p w:rsidR="00000000" w:rsidRPr="00C17801" w:rsidP="00C17801">
            <w:pPr>
              <w:pStyle w:val="List2"/>
            </w:pPr>
            <w:r w:rsidRPr="00C17801">
              <w:t>1.4.</w:t>
            </w:r>
            <w:r w:rsidRPr="00C17801">
              <w:tab/>
              <w:t xml:space="preserve">Access and apply </w:t>
            </w:r>
            <w:r w:rsidRPr="00C17801">
              <w:rPr>
                <w:rStyle w:val="BoldandItalics"/>
              </w:rPr>
              <w:t>saf</w:t>
            </w:r>
            <w:r w:rsidRPr="00C17801">
              <w:rPr>
                <w:rStyle w:val="BoldandItalics"/>
              </w:rPr>
              <w:t>ety information and procedures</w:t>
            </w:r>
            <w:r w:rsidRPr="00C17801">
              <w:t xml:space="preserve"> throughout the work</w:t>
            </w:r>
          </w:p>
          <w:p w:rsidR="00000000" w:rsidRPr="00C17801" w:rsidP="00C17801">
            <w:pPr>
              <w:pStyle w:val="List2"/>
            </w:pPr>
            <w:r w:rsidRPr="00C17801">
              <w:t>1.5.</w:t>
            </w:r>
            <w:r w:rsidRPr="00C17801">
              <w:tab/>
              <w:t xml:space="preserve">Assist in the preparation of a </w:t>
            </w:r>
            <w:r w:rsidRPr="00C17801">
              <w:rPr>
                <w:rStyle w:val="BoldandItalics"/>
              </w:rPr>
              <w:t>recovery</w:t>
            </w:r>
            <w:r w:rsidRPr="00C17801">
              <w:t xml:space="preserve"> plan</w:t>
            </w:r>
          </w:p>
          <w:p w:rsidR="00000000" w:rsidRPr="00C17801" w:rsidP="00C17801">
            <w:pPr>
              <w:pStyle w:val="List2"/>
            </w:pPr>
            <w:r w:rsidRPr="00C17801">
              <w:t>1.6.</w:t>
            </w:r>
            <w:r w:rsidRPr="00C17801">
              <w:tab/>
              <w:t xml:space="preserve">Estimate, obtain, transport and prepare materials and resources required for the work </w:t>
            </w:r>
          </w:p>
          <w:p w:rsidR="00000000" w:rsidRPr="00C17801" w:rsidP="00C17801">
            <w:pPr>
              <w:pStyle w:val="List2"/>
            </w:pPr>
            <w:r w:rsidRPr="00C17801">
              <w:t>1.7.</w:t>
            </w:r>
            <w:r w:rsidRPr="00C17801">
              <w:tab/>
              <w:t xml:space="preserve">Prepare worksite to ensure a safe work environment and </w:t>
            </w:r>
            <w:r w:rsidRPr="00C17801">
              <w:t>to enable compliance with job plan/instructions</w:t>
            </w:r>
          </w:p>
          <w:p w:rsidR="00000000" w:rsidRPr="00C17801" w:rsidP="00C17801">
            <w:pPr>
              <w:pStyle w:val="List2"/>
            </w:pPr>
            <w:r w:rsidRPr="00C17801">
              <w:t>1.8.</w:t>
            </w:r>
            <w:r w:rsidRPr="00C17801">
              <w:tab/>
              <w:t xml:space="preserve">Inspect and assess site conditions to determine if scaling is required and take action </w:t>
            </w:r>
          </w:p>
          <w:p w:rsidR="00000000" w:rsidP="00C17801">
            <w:pPr>
              <w:pStyle w:val="List2"/>
              <w:rPr>
                <w:lang w:val="en-NZ"/>
              </w:rPr>
            </w:pPr>
            <w:r w:rsidRPr="00C17801">
              <w:t>1.9.</w:t>
            </w:r>
            <w:r w:rsidRPr="00C17801">
              <w:tab/>
              <w:t>Arrange communications with other relevant site personnel</w:t>
            </w:r>
          </w:p>
        </w:tc>
      </w:tr>
      <w:tr w:rsidTr="00DA2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List"/>
              <w:rPr>
                <w:lang w:val="en-NZ"/>
              </w:rPr>
            </w:pPr>
            <w:r w:rsidRPr="00C17801">
              <w:t>2.</w:t>
            </w:r>
            <w:r w:rsidRPr="00C17801">
              <w:tab/>
              <w:t>Recover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2"/>
            </w:pPr>
            <w:r w:rsidRPr="00C17801">
              <w:t>2.1.</w:t>
            </w:r>
            <w:r w:rsidRPr="00C17801">
              <w:tab/>
              <w:t>Resolve coordination acti</w:t>
            </w:r>
            <w:r w:rsidRPr="00C17801">
              <w:t>vities with others at the site prior to commencement of, and during, the work activity</w:t>
            </w:r>
          </w:p>
          <w:p w:rsidR="00000000" w:rsidRPr="00C17801" w:rsidP="00C17801">
            <w:pPr>
              <w:pStyle w:val="List2"/>
            </w:pPr>
            <w:r w:rsidRPr="00C17801">
              <w:t>2.2.</w:t>
            </w:r>
            <w:r w:rsidRPr="00C17801">
              <w:tab/>
              <w:t xml:space="preserve">Carry out pre-start, start-up, park-up and shutdown procedures </w:t>
            </w:r>
          </w:p>
          <w:p w:rsidR="00000000" w:rsidRPr="00C17801" w:rsidP="00C17801">
            <w:pPr>
              <w:pStyle w:val="List2"/>
            </w:pPr>
            <w:r w:rsidRPr="00C17801">
              <w:t>2.3.</w:t>
            </w:r>
            <w:r w:rsidRPr="00C17801">
              <w:tab/>
              <w:t xml:space="preserve">Install recovery </w:t>
            </w:r>
            <w:r w:rsidRPr="00C17801">
              <w:rPr>
                <w:rStyle w:val="BoldandItalics"/>
              </w:rPr>
              <w:t>equipment</w:t>
            </w:r>
            <w:r w:rsidRPr="00C17801">
              <w:t>/</w:t>
            </w:r>
            <w:r w:rsidRPr="00C17801">
              <w:rPr>
                <w:rStyle w:val="BoldandItalics"/>
              </w:rPr>
              <w:t>plant</w:t>
            </w:r>
            <w:r w:rsidRPr="00C17801">
              <w:t xml:space="preserve"> and special services </w:t>
            </w:r>
          </w:p>
          <w:p w:rsidR="00000000" w:rsidRPr="00C17801" w:rsidP="00C17801">
            <w:pPr>
              <w:pStyle w:val="List2"/>
            </w:pPr>
            <w:r w:rsidRPr="00C17801">
              <w:t>2.4.</w:t>
            </w:r>
            <w:r w:rsidRPr="00C17801">
              <w:tab/>
              <w:t>Communicate with other equipment op</w:t>
            </w:r>
            <w:r w:rsidRPr="00C17801">
              <w:t>erators and personnel using approved communication methods</w:t>
            </w:r>
          </w:p>
          <w:p w:rsidR="00000000" w:rsidRPr="00C17801" w:rsidP="00C17801">
            <w:pPr>
              <w:pStyle w:val="List2"/>
            </w:pPr>
            <w:r w:rsidRPr="00C17801">
              <w:t>2.5.</w:t>
            </w:r>
            <w:r w:rsidRPr="00C17801">
              <w:tab/>
              <w:t>Recover equipment systematically, using approved methods and equipment in accordance with authorised mine procedures and with minimal loss and damage to equipment</w:t>
            </w:r>
          </w:p>
          <w:p w:rsidR="00000000" w:rsidRPr="00C17801" w:rsidP="00C17801">
            <w:pPr>
              <w:pStyle w:val="List2"/>
            </w:pPr>
            <w:r w:rsidRPr="00C17801">
              <w:t>2.6.</w:t>
            </w:r>
            <w:r w:rsidRPr="00C17801">
              <w:tab/>
              <w:t>Recognise and respond to</w:t>
            </w:r>
            <w:r w:rsidRPr="00C17801">
              <w:t xml:space="preserve"> hazardous and emergency situations </w:t>
            </w:r>
          </w:p>
          <w:p w:rsidR="00000000" w:rsidP="00C17801">
            <w:pPr>
              <w:pStyle w:val="List2"/>
              <w:rPr>
                <w:lang w:val="en-NZ"/>
              </w:rPr>
            </w:pPr>
            <w:r w:rsidRPr="00C17801">
              <w:t>2.7.</w:t>
            </w:r>
            <w:r w:rsidRPr="00C17801">
              <w:tab/>
              <w:t>Place recovered equipment into the designated holding area</w:t>
            </w:r>
          </w:p>
        </w:tc>
      </w:tr>
      <w:tr w:rsidTr="00DA2AD9">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List"/>
              <w:rPr>
                <w:lang w:val="en-NZ"/>
              </w:rPr>
            </w:pPr>
            <w:r w:rsidRPr="00C17801">
              <w:t>3.</w:t>
            </w:r>
            <w:r w:rsidRPr="00C17801">
              <w:tab/>
              <w:t>Carry out operator maintenance on recovery equipment/plant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2"/>
            </w:pPr>
            <w:r w:rsidRPr="00C17801">
              <w:t>3.1.</w:t>
            </w:r>
            <w:r w:rsidRPr="00C17801">
              <w:tab/>
              <w:t xml:space="preserve">Carry out recovery equipment inspections and fault finding </w:t>
            </w:r>
          </w:p>
          <w:p w:rsidR="00000000" w:rsidRPr="00C17801" w:rsidP="00C17801">
            <w:pPr>
              <w:pStyle w:val="List2"/>
            </w:pPr>
            <w:r w:rsidRPr="00C17801">
              <w:t>3.2.</w:t>
            </w:r>
            <w:r w:rsidRPr="00C17801">
              <w:tab/>
              <w:t>Carry out routine oper</w:t>
            </w:r>
            <w:r w:rsidRPr="00C17801">
              <w:t xml:space="preserve">ational servicing, lubrication and housekeeping tasks </w:t>
            </w:r>
          </w:p>
          <w:p w:rsidR="00000000" w:rsidRPr="00C17801" w:rsidP="00C17801">
            <w:pPr>
              <w:pStyle w:val="List2"/>
            </w:pPr>
            <w:r w:rsidRPr="00C17801">
              <w:t>3.3.</w:t>
            </w:r>
            <w:r w:rsidRPr="00C17801">
              <w:tab/>
              <w:t xml:space="preserve">Carry out minor maintenance </w:t>
            </w:r>
          </w:p>
          <w:p w:rsidR="00000000" w:rsidRPr="00C17801" w:rsidP="00C17801">
            <w:pPr>
              <w:pStyle w:val="List2"/>
            </w:pPr>
            <w:r w:rsidRPr="00C17801">
              <w:t>3.4.</w:t>
            </w:r>
            <w:r w:rsidRPr="00C17801">
              <w:tab/>
              <w:t xml:space="preserve">Provide operator support during preparation for, and conduct of, major maintenance tasks </w:t>
            </w:r>
          </w:p>
          <w:p w:rsidR="00000000" w:rsidRPr="00C17801" w:rsidP="00C17801">
            <w:pPr>
              <w:pStyle w:val="List2"/>
            </w:pPr>
            <w:r w:rsidRPr="00C17801">
              <w:t>3.5.</w:t>
            </w:r>
            <w:r w:rsidRPr="00C17801">
              <w:tab/>
              <w:t xml:space="preserve">Process records </w:t>
            </w:r>
          </w:p>
        </w:tc>
      </w:tr>
    </w:tbl>
    <w:p w:rsidR="00000000" w:rsidRPr="00C17801" w:rsidP="00C17801">
      <w:pPr>
        <w:pStyle w:val="BodyText"/>
      </w:pPr>
    </w:p>
    <w:p w:rsidR="00000000" w:rsidRPr="00C17801" w:rsidP="00C17801">
      <w:pPr>
        <w:pStyle w:val="AllowPageBreak"/>
      </w:pPr>
    </w:p>
    <w:p w:rsidR="00000000" w:rsidRPr="00C17801" w:rsidP="00C17801">
      <w:pPr>
        <w:pStyle w:val="Heading1"/>
      </w:pPr>
      <w:bookmarkStart w:id="9" w:name="O_134891"/>
      <w:bookmarkEnd w:id="9"/>
      <w:r w:rsidRPr="00C17801">
        <w:t>Required Skills and Knowledge</w:t>
      </w:r>
    </w:p>
    <w:tbl>
      <w:tblPr>
        <w:tblW w:w="0" w:type="auto"/>
        <w:tblLayout w:type="fixed"/>
        <w:tblCellMar>
          <w:left w:w="62" w:type="dxa"/>
          <w:right w:w="62" w:type="dxa"/>
        </w:tblCellMar>
        <w:tblLook w:val="0000"/>
      </w:tblPr>
      <w:tblGrid>
        <w:gridCol w:w="8522"/>
      </w:tblGrid>
      <w:tr w:rsidTr="00DA2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t>This section describes the skills and knowledge required for this unit.</w:t>
            </w:r>
          </w:p>
        </w:tc>
      </w:tr>
      <w:tr w:rsidTr="00DA2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Required skills</w:t>
            </w:r>
          </w:p>
        </w:tc>
      </w:tr>
      <w:tr w:rsidTr="00DA2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Specific skills are required to achieve the Performance Criteria of this unit, particularly for its application in the various circumstances in which this unit may be</w:t>
            </w:r>
            <w:r w:rsidRPr="00C17801">
              <w:t xml:space="preserve"> used. This includes the ability to carry out the following as required to recover underground equipment:</w:t>
            </w:r>
          </w:p>
          <w:p w:rsidR="00000000" w:rsidRPr="00C17801" w:rsidP="00C17801">
            <w:pPr>
              <w:pStyle w:val="ListBullet"/>
            </w:pPr>
            <w:r w:rsidRPr="00C17801">
              <w:t>apply legislative, organisation and site requirements and procedures for recovery of  underground equipment</w:t>
            </w:r>
          </w:p>
          <w:p w:rsidR="00000000" w:rsidRPr="00C17801" w:rsidP="00C17801">
            <w:pPr>
              <w:pStyle w:val="ListBullet"/>
            </w:pPr>
            <w:r w:rsidRPr="00C17801">
              <w:t>apply operational safety requirements</w:t>
            </w:r>
          </w:p>
          <w:p w:rsidR="00000000" w:rsidRPr="00C17801" w:rsidP="00C17801">
            <w:pPr>
              <w:pStyle w:val="ListBullet"/>
            </w:pPr>
            <w:r w:rsidRPr="00C17801">
              <w:t>access, interpret and apply technical, environmental and geological information</w:t>
            </w:r>
          </w:p>
          <w:p w:rsidR="00000000" w:rsidRPr="00C17801" w:rsidP="00C17801">
            <w:pPr>
              <w:pStyle w:val="ListBullet"/>
            </w:pPr>
            <w:r w:rsidRPr="00C17801">
              <w:t>communicate and coordinate activities with others</w:t>
            </w:r>
          </w:p>
          <w:p w:rsidR="00000000" w:rsidRPr="00C17801" w:rsidP="00C17801">
            <w:pPr>
              <w:pStyle w:val="ListBullet"/>
            </w:pPr>
            <w:r w:rsidRPr="00C17801">
              <w:t>apply risk analysis processes</w:t>
            </w:r>
          </w:p>
          <w:p w:rsidR="00000000" w:rsidRPr="00C17801" w:rsidP="00C17801">
            <w:pPr>
              <w:pStyle w:val="ListBullet"/>
            </w:pPr>
            <w:r w:rsidRPr="00C17801">
              <w:t>analyse recovery methods suitable to the situations</w:t>
            </w:r>
          </w:p>
          <w:p w:rsidR="00000000" w:rsidRPr="00C17801" w:rsidP="00C17801">
            <w:pPr>
              <w:pStyle w:val="ListBullet"/>
            </w:pPr>
            <w:r w:rsidRPr="00C17801">
              <w:t>anticipate potential hazards</w:t>
            </w:r>
          </w:p>
          <w:p w:rsidR="00000000" w:rsidRPr="00C17801" w:rsidP="00C17801">
            <w:pPr>
              <w:pStyle w:val="ListBullet"/>
            </w:pPr>
            <w:r w:rsidRPr="00C17801">
              <w:t>analyse and res</w:t>
            </w:r>
            <w:r w:rsidRPr="00C17801">
              <w:t>pond to changing circumstances</w:t>
            </w:r>
          </w:p>
          <w:p w:rsidR="00000000" w:rsidRPr="00C17801" w:rsidP="00C17801">
            <w:pPr>
              <w:pStyle w:val="ListBullet"/>
            </w:pPr>
            <w:r w:rsidRPr="00C17801">
              <w:t>apply diagnostic techniques</w:t>
            </w:r>
          </w:p>
          <w:p w:rsidR="00000000" w:rsidP="00C17801">
            <w:pPr>
              <w:pStyle w:val="ListBullet"/>
              <w:rPr>
                <w:lang w:val="en-NZ"/>
              </w:rPr>
            </w:pPr>
            <w:r w:rsidRPr="00C17801">
              <w:t>use hand tools</w:t>
            </w:r>
          </w:p>
        </w:tc>
      </w:tr>
      <w:tr w:rsidTr="00DA2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Required knowledge</w:t>
            </w:r>
          </w:p>
        </w:tc>
      </w:tr>
      <w:tr w:rsidTr="00DA2AD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Specific knowledge is required to achieve the Performance Criteria of this unit, particularly for its application in the various circumstances in which this unit</w:t>
            </w:r>
            <w:r w:rsidRPr="00C17801">
              <w:t xml:space="preserve"> may be used. This includes knowledge of the following as required to recover underground equipment:</w:t>
            </w:r>
          </w:p>
          <w:p w:rsidR="00000000" w:rsidRPr="00C17801" w:rsidP="00C17801">
            <w:pPr>
              <w:pStyle w:val="ListBullet"/>
            </w:pPr>
            <w:r w:rsidRPr="00C17801">
              <w:t>operational safety requirements</w:t>
            </w:r>
          </w:p>
          <w:p w:rsidR="00000000" w:rsidRPr="00C17801" w:rsidP="00C17801">
            <w:pPr>
              <w:pStyle w:val="ListBullet"/>
            </w:pPr>
            <w:r w:rsidRPr="00C17801">
              <w:t>mine operational procedures</w:t>
            </w:r>
          </w:p>
          <w:p w:rsidR="00000000" w:rsidRPr="00C17801" w:rsidP="00C17801">
            <w:pPr>
              <w:pStyle w:val="ListBullet"/>
            </w:pPr>
            <w:r w:rsidRPr="00C17801">
              <w:t>geological and environmental conditions in the recovery area</w:t>
            </w:r>
          </w:p>
          <w:p w:rsidR="00000000" w:rsidRPr="00C17801" w:rsidP="00C17801">
            <w:pPr>
              <w:pStyle w:val="ListBullet"/>
            </w:pPr>
            <w:r w:rsidRPr="00C17801">
              <w:t>potential hazards and remedial or response actions</w:t>
            </w:r>
          </w:p>
          <w:p w:rsidR="00000000" w:rsidRPr="00C17801" w:rsidP="00C17801">
            <w:pPr>
              <w:pStyle w:val="ListBullet"/>
            </w:pPr>
            <w:r w:rsidRPr="00C17801">
              <w:t>a range of available recovery methods</w:t>
            </w:r>
          </w:p>
          <w:p w:rsidR="00000000" w:rsidRPr="00C17801" w:rsidP="00C17801">
            <w:pPr>
              <w:pStyle w:val="ListBullet"/>
            </w:pPr>
            <w:r w:rsidRPr="00C17801">
              <w:t>loss and damage causes and control techniques</w:t>
            </w:r>
          </w:p>
          <w:p w:rsidR="00000000" w:rsidRPr="00C17801" w:rsidP="00C17801">
            <w:pPr>
              <w:pStyle w:val="ListBullet"/>
            </w:pPr>
            <w:r w:rsidRPr="00C17801">
              <w:t>recovery site control procedures</w:t>
            </w:r>
          </w:p>
          <w:p w:rsidR="00000000" w:rsidRPr="00C17801" w:rsidP="00C17801">
            <w:pPr>
              <w:pStyle w:val="ListBullet"/>
            </w:pPr>
            <w:r w:rsidRPr="00C17801">
              <w:t>operational signalling procedures</w:t>
            </w:r>
          </w:p>
          <w:p w:rsidR="00000000" w:rsidRPr="00C17801" w:rsidP="00C17801">
            <w:pPr>
              <w:pStyle w:val="ListBullet"/>
            </w:pPr>
            <w:r w:rsidRPr="00C17801">
              <w:t>mine communication systems and procedures</w:t>
            </w:r>
          </w:p>
        </w:tc>
      </w:tr>
    </w:tbl>
    <w:p w:rsidR="00000000" w:rsidRPr="00C17801" w:rsidP="00C17801">
      <w:pPr>
        <w:pStyle w:val="BodyText"/>
      </w:pPr>
    </w:p>
    <w:p w:rsidR="00000000" w:rsidRPr="00C17801" w:rsidP="00C17801">
      <w:pPr>
        <w:pStyle w:val="AllowPageBreak"/>
      </w:pPr>
    </w:p>
    <w:p w:rsidR="00000000" w:rsidRPr="00C17801" w:rsidP="00C17801">
      <w:pPr>
        <w:pStyle w:val="Heading1"/>
      </w:pPr>
      <w:bookmarkStart w:id="10" w:name="O_134892"/>
      <w:bookmarkEnd w:id="10"/>
      <w:r w:rsidRPr="00C17801">
        <w:t>Evidence Guide</w:t>
      </w:r>
    </w:p>
    <w:tbl>
      <w:tblPr>
        <w:tblW w:w="0" w:type="auto"/>
        <w:tblLayout w:type="fixed"/>
        <w:tblCellMar>
          <w:left w:w="62" w:type="dxa"/>
          <w:right w:w="62" w:type="dxa"/>
        </w:tblCellMar>
        <w:tblLook w:val="0000"/>
      </w:tblPr>
      <w:tblGrid>
        <w:gridCol w:w="3448"/>
        <w:gridCol w:w="5074"/>
      </w:tblGrid>
      <w:tr w:rsidTr="00DA2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t>The evidence guide provides advice on assessment and must be read in conjunction with the performance criteria, required skills and knowledge, range statement and the Assessment Guidelines for the Training Package.</w:t>
            </w:r>
          </w:p>
        </w:tc>
      </w:tr>
      <w:tr w:rsidTr="00DA2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p>
        </w:tc>
      </w:tr>
      <w:tr w:rsidTr="00DA2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The evidence required to demonstrate competency in this unit must be relevant to worksite operations and satisfy all of the requirements o</w:t>
            </w:r>
            <w:r w:rsidRPr="00C17801">
              <w:t>f the performance criteria, required skills and knowledge and the range statement of this unit and include evidence of the following:</w:t>
            </w:r>
          </w:p>
          <w:p w:rsidR="00000000" w:rsidRPr="00C17801" w:rsidP="00C17801">
            <w:pPr>
              <w:pStyle w:val="ListBullet"/>
            </w:pPr>
            <w:r w:rsidRPr="00C17801">
              <w:t>knowledge of the requirements, procedures and instructions for recovery of underground equipment</w:t>
            </w:r>
          </w:p>
          <w:p w:rsidR="00000000" w:rsidRPr="00C17801" w:rsidP="00C17801">
            <w:pPr>
              <w:pStyle w:val="ListBullet"/>
            </w:pPr>
            <w:r w:rsidRPr="00C17801">
              <w:t>implementation of requir</w:t>
            </w:r>
            <w:r w:rsidRPr="00C17801">
              <w:t>ements, procedures and techniques for the safe, effective and efficient completion of underground equipment recovery</w:t>
            </w:r>
          </w:p>
          <w:p w:rsidR="00000000" w:rsidRPr="00C17801" w:rsidP="00C17801">
            <w:pPr>
              <w:pStyle w:val="ListBullet"/>
            </w:pPr>
            <w:r w:rsidRPr="00C17801">
              <w:t>working with others to undertake and complete the recovery of underground equipment that meets all of the required outcomes</w:t>
            </w:r>
          </w:p>
          <w:p w:rsidR="00000000" w:rsidP="00C17801">
            <w:pPr>
              <w:pStyle w:val="ListBullet"/>
              <w:rPr>
                <w:lang w:val="en-NZ"/>
              </w:rPr>
            </w:pPr>
            <w:r w:rsidRPr="00C17801">
              <w:t>consistent time</w:t>
            </w:r>
            <w:r w:rsidRPr="00C17801">
              <w:t>ly completion of underground equipment recovery that safely, effectively and efficiently meets the required outcomes</w:t>
            </w:r>
          </w:p>
        </w:tc>
      </w:tr>
      <w:tr w:rsidTr="00DA2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 xml:space="preserve">This unit must be assessed in the context of the work environment. Where personal </w:t>
            </w:r>
            <w:r w:rsidRPr="00C17801">
              <w:t>safety or environmental damage are limiting factors, assessment may occur in a simulated environment provided it is realistic and sufficiently rigorous to cover all aspects of workplace performance, including task skills, task management skills, contingenc</w:t>
            </w:r>
            <w:r w:rsidRPr="00C17801">
              <w:t>y management skills and job role environment skills.</w:t>
            </w:r>
          </w:p>
          <w:p w:rsidR="00000000" w:rsidRPr="00C17801" w:rsidP="00C17801">
            <w:pPr>
              <w:pStyle w:val="ListBullet"/>
            </w:pPr>
            <w:r w:rsidRPr="00C17801">
              <w:t xml:space="preserve">Assessment of this competency requires typical resources normally used in a resources and infrastructure sector environment. Selection and use of resources for particular worksites may differ due to the </w:t>
            </w:r>
            <w:r w:rsidRPr="00C17801">
              <w:t>site circumstances.</w:t>
            </w:r>
          </w:p>
          <w:p w:rsidR="00000000" w:rsidRPr="00C17801" w:rsidP="00C17801">
            <w:pPr>
              <w:pStyle w:val="ListBullet"/>
            </w:pPr>
            <w:r w:rsidRPr="00C17801">
              <w:t>The assessment environment should not disadvantage the participant. For example, language, literacy and numeracy demands of assessment should not be greater than those required on the job.</w:t>
            </w:r>
          </w:p>
          <w:p w:rsidR="00000000" w:rsidRPr="00C17801" w:rsidP="00C17801">
            <w:pPr>
              <w:pStyle w:val="ListBullet"/>
            </w:pPr>
            <w:r w:rsidRPr="00C17801">
              <w:t>Customisation of assessment and delivery enviro</w:t>
            </w:r>
            <w:r w:rsidRPr="00C17801">
              <w:t>nment should sensitively accommodate cultural diversity.</w:t>
            </w:r>
          </w:p>
          <w:p w:rsidR="00000000" w:rsidRPr="00C17801" w:rsidP="00C17801">
            <w:pPr>
              <w:pStyle w:val="ListBullet"/>
            </w:pPr>
            <w:r w:rsidRPr="00C17801">
              <w:t>Aboriginal people and other people from a non English speaking background may have second language issues.</w:t>
            </w:r>
          </w:p>
          <w:p w:rsidR="00000000" w:rsidP="00C17801">
            <w:pPr>
              <w:pStyle w:val="ListBullet"/>
              <w:rPr>
                <w:lang w:val="en-NZ"/>
              </w:rPr>
            </w:pPr>
            <w:r w:rsidRPr="00C17801">
              <w:t>Where applicable, physical resources should include equipment modified for people with disab</w:t>
            </w:r>
            <w:r w:rsidRPr="00C17801">
              <w:t>ilities.  Access must be provided to appropriate learning and/or assessment support when required.</w:t>
            </w:r>
          </w:p>
        </w:tc>
      </w:tr>
      <w:tr w:rsidTr="00DA2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This unit may be assessed in a holistic way with other units of competency.  The assessment strategy for this unit must verify required</w:t>
            </w:r>
            <w:r w:rsidRPr="00C17801">
              <w:t xml:space="preserve"> knowledge and skill and practical application using more than one of the following assessment methods: </w:t>
            </w:r>
          </w:p>
          <w:p w:rsidR="00000000" w:rsidRPr="00C17801" w:rsidP="00C17801">
            <w:pPr>
              <w:pStyle w:val="ListBullet"/>
            </w:pPr>
            <w:r w:rsidRPr="00C17801">
              <w:t>written and/or oral assessment of the candidate's required knowledge</w:t>
            </w:r>
          </w:p>
          <w:p w:rsidR="00000000" w:rsidRPr="00C17801" w:rsidP="00C17801">
            <w:pPr>
              <w:pStyle w:val="ListBullet"/>
            </w:pPr>
            <w:r w:rsidRPr="00C17801">
              <w:t>observed, documented and/or first hand testimonial evidence of the candidate's:</w:t>
            </w:r>
          </w:p>
          <w:p w:rsidR="00000000" w:rsidRPr="00C17801" w:rsidP="00C17801">
            <w:pPr>
              <w:pStyle w:val="ListBullet2"/>
            </w:pPr>
            <w:r w:rsidRPr="00C17801">
              <w:t>implementation of appropriate requirements, procedures and techniques for the safe, effective and efficient achievement of required outcomes</w:t>
            </w:r>
          </w:p>
          <w:p w:rsidR="00000000" w:rsidRPr="00C17801" w:rsidP="00C17801">
            <w:pPr>
              <w:pStyle w:val="ListBullet2"/>
            </w:pPr>
            <w:r w:rsidRPr="00C17801">
              <w:t>consistent achievement of required outcomes</w:t>
            </w:r>
          </w:p>
          <w:p w:rsidR="00000000" w:rsidRPr="00C17801" w:rsidP="00C17801">
            <w:pPr>
              <w:pStyle w:val="ListBullet"/>
            </w:pPr>
            <w:r w:rsidRPr="00C17801">
              <w:t>first hand testimonial evidence of the candidate's:</w:t>
            </w:r>
          </w:p>
          <w:p w:rsidR="00000000" w:rsidP="00C17801">
            <w:pPr>
              <w:pStyle w:val="ListBullet2"/>
              <w:rPr>
                <w:lang w:val="en-NZ"/>
              </w:rPr>
            </w:pPr>
            <w:r w:rsidRPr="00C17801">
              <w:t>working with others to undertake and complete underground equipment recovery</w:t>
            </w:r>
          </w:p>
        </w:tc>
      </w:tr>
      <w:tr w:rsidTr="00DA2AD9">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BodyText"/>
            </w:pPr>
            <w:r w:rsidRPr="00C17801">
              <w:t>Consult the SkillsDMC User Guide for further information on assessment including access and equity issues.</w:t>
            </w:r>
          </w:p>
        </w:tc>
      </w:tr>
    </w:tbl>
    <w:p w:rsidR="00000000" w:rsidRPr="00C17801" w:rsidP="00C17801">
      <w:pPr>
        <w:pStyle w:val="BodyText"/>
      </w:pPr>
    </w:p>
    <w:p w:rsidR="00000000" w:rsidRPr="00C17801" w:rsidP="00C17801">
      <w:pPr>
        <w:pStyle w:val="AllowPageBreak"/>
      </w:pPr>
    </w:p>
    <w:p w:rsidR="00000000" w:rsidRPr="00C17801" w:rsidP="00C17801">
      <w:pPr>
        <w:pStyle w:val="Heading1"/>
      </w:pPr>
      <w:bookmarkStart w:id="11" w:name="O_134893"/>
      <w:bookmarkEnd w:id="11"/>
      <w:r w:rsidRPr="00C17801">
        <w:t>Range Statement</w:t>
      </w:r>
    </w:p>
    <w:tbl>
      <w:tblPr>
        <w:tblW w:w="0" w:type="auto"/>
        <w:tblLayout w:type="fixed"/>
        <w:tblCellMar>
          <w:left w:w="62" w:type="dxa"/>
          <w:right w:w="62" w:type="dxa"/>
        </w:tblCellMar>
        <w:tblLook w:val="0000"/>
      </w:tblPr>
      <w:tblGrid>
        <w:gridCol w:w="3493"/>
        <w:gridCol w:w="5029"/>
      </w:tblGrid>
      <w:tr w:rsidTr="00DA2A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t>The range statement relates to the unit of competency as a whole. It allows for different work environments and situations that may affect performance. Bold italicised wording, if used in the performance criteria, is detailed below. Essential operating con</w:t>
            </w:r>
            <w:r w:rsidRPr="00C17801">
              <w:t>ditions that may be present with training and assessment (depending on the work situation, needs of the candidate, accessibility of the item, and local industry and regional contexts) may also be included.</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Relevant compliance documentation</w:t>
            </w:r>
            <w:r w:rsidRPr="00C1780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legislative, organisational and site requirements and procedures</w:t>
            </w:r>
          </w:p>
          <w:p w:rsidR="00000000" w:rsidRPr="00C17801" w:rsidP="00C17801">
            <w:pPr>
              <w:pStyle w:val="ListBullet"/>
            </w:pPr>
            <w:r w:rsidRPr="00C17801">
              <w:t>manufacturer's guidelines and specifications</w:t>
            </w:r>
          </w:p>
          <w:p w:rsidR="00000000" w:rsidRPr="00C17801" w:rsidP="00C17801">
            <w:pPr>
              <w:pStyle w:val="ListBullet"/>
            </w:pPr>
            <w:r w:rsidRPr="00C17801">
              <w:t>Australian standards</w:t>
            </w:r>
          </w:p>
          <w:p w:rsidR="00000000" w:rsidRPr="00C17801" w:rsidP="00C17801">
            <w:pPr>
              <w:pStyle w:val="ListBullet"/>
            </w:pPr>
            <w:r w:rsidRPr="00C17801">
              <w:t xml:space="preserve">Employment and workplace relations legislation </w:t>
            </w:r>
          </w:p>
          <w:p w:rsidR="00000000" w:rsidP="00C17801">
            <w:pPr>
              <w:pStyle w:val="ListBullet"/>
              <w:rPr>
                <w:lang w:val="en-NZ"/>
              </w:rPr>
            </w:pPr>
            <w:r w:rsidRPr="00C17801">
              <w:t>Equal Employment Opportunity and Disability Discrimination legislation</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Details of the recovery requirements</w:t>
            </w:r>
            <w:r w:rsidRPr="00C1780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the equipment to be recovered</w:t>
            </w:r>
          </w:p>
          <w:p w:rsidR="00000000" w:rsidRPr="00C17801" w:rsidP="00C17801">
            <w:pPr>
              <w:pStyle w:val="ListBullet"/>
            </w:pPr>
            <w:r w:rsidRPr="00C17801">
              <w:t>the location of the buried equipment</w:t>
            </w:r>
          </w:p>
          <w:p w:rsidR="00000000" w:rsidRPr="00C17801" w:rsidP="00C17801">
            <w:pPr>
              <w:pStyle w:val="ListBullet"/>
            </w:pPr>
            <w:r w:rsidRPr="00C17801">
              <w:t>the extent to which it is buried</w:t>
            </w:r>
          </w:p>
          <w:p w:rsidR="00000000" w:rsidRPr="00C17801" w:rsidP="00C17801">
            <w:pPr>
              <w:pStyle w:val="ListBullet"/>
            </w:pPr>
            <w:r w:rsidRPr="00C17801">
              <w:t>the known impact of strata control and ventilation</w:t>
            </w:r>
          </w:p>
          <w:p w:rsidR="00000000" w:rsidRPr="00C17801" w:rsidP="00C17801">
            <w:pPr>
              <w:pStyle w:val="ListBullet"/>
            </w:pPr>
            <w:r w:rsidRPr="00C17801">
              <w:t>recovery equipment/plant/resource availability</w:t>
            </w:r>
          </w:p>
          <w:p w:rsidR="00000000" w:rsidRPr="00C17801" w:rsidP="00C17801">
            <w:pPr>
              <w:pStyle w:val="ListBullet"/>
            </w:pPr>
            <w:r w:rsidRPr="00C17801">
              <w:t xml:space="preserve">access </w:t>
            </w:r>
            <w:r w:rsidRPr="00C17801">
              <w:t>ways and routes</w:t>
            </w:r>
          </w:p>
          <w:p w:rsidR="00000000" w:rsidRPr="00C17801" w:rsidP="00C17801">
            <w:pPr>
              <w:pStyle w:val="ListBullet"/>
            </w:pPr>
            <w:r w:rsidRPr="00C17801">
              <w:t>site control arrangements</w:t>
            </w:r>
          </w:p>
          <w:p w:rsidR="00000000" w:rsidP="00C17801">
            <w:pPr>
              <w:pStyle w:val="ListBullet"/>
              <w:rPr>
                <w:lang w:val="en-NZ"/>
              </w:rPr>
            </w:pPr>
            <w:r w:rsidRPr="00C17801">
              <w:t>time constraints or targets</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Safety information and procedures</w:t>
            </w:r>
            <w:r w:rsidRPr="00C1780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legislation and regulations</w:t>
            </w:r>
          </w:p>
          <w:p w:rsidR="00000000" w:rsidRPr="00C17801" w:rsidP="00C17801">
            <w:pPr>
              <w:pStyle w:val="ListBullet"/>
            </w:pPr>
            <w:r w:rsidRPr="00C17801">
              <w:t>relevant Australian standards</w:t>
            </w:r>
          </w:p>
          <w:p w:rsidR="00000000" w:rsidRPr="00C17801" w:rsidP="00C17801">
            <w:pPr>
              <w:pStyle w:val="ListBullet"/>
            </w:pPr>
            <w:r w:rsidRPr="00C17801">
              <w:t>management plans</w:t>
            </w:r>
          </w:p>
          <w:p w:rsidR="00000000" w:rsidRPr="00C17801" w:rsidP="00C17801">
            <w:pPr>
              <w:pStyle w:val="ListBullet"/>
            </w:pPr>
            <w:r w:rsidRPr="00C17801">
              <w:t>OHS policy</w:t>
            </w:r>
          </w:p>
          <w:p w:rsidR="00000000" w:rsidRPr="00C17801" w:rsidP="00C17801">
            <w:pPr>
              <w:pStyle w:val="ListBullet"/>
            </w:pPr>
            <w:r w:rsidRPr="00C17801">
              <w:t>code of practice</w:t>
            </w:r>
          </w:p>
          <w:p w:rsidR="00000000" w:rsidRPr="00C17801" w:rsidP="00C17801">
            <w:pPr>
              <w:pStyle w:val="ListBullet"/>
            </w:pPr>
            <w:r w:rsidRPr="00C17801">
              <w:t>manufacturer's instructions</w:t>
            </w:r>
          </w:p>
          <w:p w:rsidR="00000000" w:rsidRPr="00C17801" w:rsidP="00C17801">
            <w:pPr>
              <w:pStyle w:val="ListBullet"/>
            </w:pPr>
            <w:r w:rsidRPr="00C17801">
              <w:t>safe working procedures (or equivalents)</w:t>
            </w:r>
          </w:p>
          <w:p w:rsidR="00000000" w:rsidP="00C17801">
            <w:pPr>
              <w:pStyle w:val="ListBullet"/>
              <w:rPr>
                <w:lang w:val="en-NZ"/>
              </w:rPr>
            </w:pPr>
            <w:r w:rsidRPr="00C17801">
              <w:t>recognised standards</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Specific safety requirements</w:t>
            </w:r>
            <w:r w:rsidRPr="00C17801">
              <w:t xml:space="preserve"> are to include formal risk assessment and control processes and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securing and guarding the work area and accesses</w:t>
            </w:r>
          </w:p>
          <w:p w:rsidR="00000000" w:rsidRPr="00C17801" w:rsidP="00C17801">
            <w:pPr>
              <w:pStyle w:val="ListBullet"/>
            </w:pPr>
            <w:r w:rsidRPr="00C17801">
              <w:t xml:space="preserve">dangers of material under tension </w:t>
            </w:r>
          </w:p>
          <w:p w:rsidR="00000000" w:rsidRPr="00C17801" w:rsidP="00C17801">
            <w:pPr>
              <w:pStyle w:val="ListBullet"/>
            </w:pPr>
            <w:r w:rsidRPr="00C17801">
              <w:t>st</w:t>
            </w:r>
            <w:r w:rsidRPr="00C17801">
              <w:t>rata support systems</w:t>
            </w:r>
          </w:p>
          <w:p w:rsidR="00000000" w:rsidP="00C17801">
            <w:pPr>
              <w:pStyle w:val="ListBullet"/>
              <w:rPr>
                <w:lang w:val="en-NZ"/>
              </w:rPr>
            </w:pPr>
            <w:r w:rsidRPr="00C17801">
              <w:t>no-go zones</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t xml:space="preserve">Method of </w:t>
            </w:r>
            <w:r w:rsidRPr="00C17801">
              <w:rPr>
                <w:rStyle w:val="SpecialBold"/>
              </w:rPr>
              <w:t>recovery</w:t>
            </w:r>
            <w:r w:rsidRPr="00C17801">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pulling</w:t>
            </w:r>
          </w:p>
          <w:p w:rsidR="00000000" w:rsidRPr="00C17801" w:rsidP="00C17801">
            <w:pPr>
              <w:pStyle w:val="ListBullet"/>
            </w:pPr>
            <w:r w:rsidRPr="00C17801">
              <w:t>excavating</w:t>
            </w:r>
          </w:p>
          <w:p w:rsidR="00000000" w:rsidP="00C17801">
            <w:pPr>
              <w:pStyle w:val="ListBullet"/>
              <w:rPr>
                <w:lang w:val="en-NZ"/>
              </w:rPr>
            </w:pPr>
            <w:r w:rsidRPr="00C17801">
              <w:t>spiralling</w:t>
            </w:r>
          </w:p>
        </w:tc>
      </w:tr>
      <w:tr w:rsidTr="00DA2AD9">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7801">
            <w:pPr>
              <w:pStyle w:val="BodyText"/>
              <w:rPr>
                <w:lang w:val="en-NZ"/>
              </w:rPr>
            </w:pPr>
            <w:r w:rsidRPr="00C17801">
              <w:rPr>
                <w:rStyle w:val="SpecialBold"/>
              </w:rPr>
              <w:t>Equipment</w:t>
            </w:r>
            <w:r w:rsidRPr="00C17801">
              <w:t>/</w:t>
            </w:r>
            <w:r w:rsidRPr="00C17801">
              <w:rPr>
                <w:rStyle w:val="SpecialBold"/>
              </w:rPr>
              <w:t>plant</w:t>
            </w:r>
            <w:r w:rsidRPr="00C17801">
              <w:t xml:space="preserve"> used for non-routine recovery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7801" w:rsidP="00C17801">
            <w:pPr>
              <w:pStyle w:val="ListBullet"/>
            </w:pPr>
            <w:r w:rsidRPr="00C17801">
              <w:t>machinery</w:t>
            </w:r>
          </w:p>
          <w:p w:rsidR="00000000" w:rsidRPr="00C17801" w:rsidP="00C17801">
            <w:pPr>
              <w:pStyle w:val="ListBullet"/>
            </w:pPr>
            <w:r w:rsidRPr="00C17801">
              <w:t>mine extraction device</w:t>
            </w:r>
          </w:p>
          <w:p w:rsidR="00000000" w:rsidRPr="00C17801" w:rsidP="00C17801">
            <w:pPr>
              <w:pStyle w:val="ListBullet"/>
            </w:pPr>
            <w:r w:rsidRPr="00C17801">
              <w:t>hydraulic mine puller</w:t>
            </w:r>
          </w:p>
          <w:p w:rsidR="00000000" w:rsidRPr="00C17801" w:rsidP="00C17801">
            <w:pPr>
              <w:pStyle w:val="ListBullet"/>
            </w:pPr>
            <w:r w:rsidRPr="00C17801">
              <w:t>load haul dumps</w:t>
            </w:r>
          </w:p>
          <w:p w:rsidR="00000000" w:rsidRPr="00C17801" w:rsidP="00C17801">
            <w:pPr>
              <w:pStyle w:val="ListBullet"/>
            </w:pPr>
            <w:r w:rsidRPr="00C17801">
              <w:t>shuttlecar</w:t>
            </w:r>
          </w:p>
          <w:p w:rsidR="00000000" w:rsidRPr="00C17801" w:rsidP="00C17801">
            <w:pPr>
              <w:pStyle w:val="ListBullet"/>
            </w:pPr>
            <w:r w:rsidRPr="00C17801">
              <w:t>breaker line support and mine dozer</w:t>
            </w:r>
          </w:p>
          <w:p w:rsidR="00000000" w:rsidRPr="00C17801" w:rsidP="00C17801">
            <w:pPr>
              <w:pStyle w:val="ListBullet"/>
            </w:pPr>
            <w:r w:rsidRPr="00C17801">
              <w:t>ramcar</w:t>
            </w:r>
          </w:p>
          <w:p w:rsidR="00000000" w:rsidRPr="00C17801" w:rsidP="00C17801">
            <w:pPr>
              <w:pStyle w:val="ListBullet"/>
            </w:pPr>
            <w:r w:rsidRPr="00C17801">
              <w:t>devices and materials used to support non-routine recovery operations may include:</w:t>
            </w:r>
          </w:p>
          <w:p w:rsidR="00000000" w:rsidRPr="00C17801" w:rsidP="00C17801">
            <w:pPr>
              <w:pStyle w:val="ListBullet2"/>
            </w:pPr>
            <w:r w:rsidRPr="00C17801">
              <w:t>winches</w:t>
            </w:r>
          </w:p>
          <w:p w:rsidR="00000000" w:rsidRPr="00C17801" w:rsidP="00C17801">
            <w:pPr>
              <w:pStyle w:val="ListBullet2"/>
            </w:pPr>
            <w:r w:rsidRPr="00C17801">
              <w:t>block and tackle</w:t>
            </w:r>
          </w:p>
          <w:p w:rsidR="00000000" w:rsidRPr="00C17801" w:rsidP="00C17801">
            <w:pPr>
              <w:pStyle w:val="ListBullet2"/>
            </w:pPr>
            <w:r w:rsidRPr="00C17801">
              <w:t>chains</w:t>
            </w:r>
          </w:p>
          <w:p w:rsidR="00000000" w:rsidRPr="00C17801" w:rsidP="00C17801">
            <w:pPr>
              <w:pStyle w:val="ListBullet2"/>
            </w:pPr>
            <w:r w:rsidRPr="00C17801">
              <w:t>timber</w:t>
            </w:r>
          </w:p>
          <w:p w:rsidR="00000000" w:rsidRPr="00C17801" w:rsidP="00C17801">
            <w:pPr>
              <w:pStyle w:val="ListBullet2"/>
            </w:pPr>
            <w:r w:rsidRPr="00C17801">
              <w:t>bolters</w:t>
            </w:r>
          </w:p>
          <w:p w:rsidR="00000000" w:rsidRPr="00C17801" w:rsidP="00C17801">
            <w:pPr>
              <w:pStyle w:val="ListBullet2"/>
            </w:pPr>
            <w:r w:rsidRPr="00C17801">
              <w:t>chemicals (e.g. PUR, strata binder, grout)</w:t>
            </w:r>
          </w:p>
        </w:tc>
      </w:tr>
    </w:tbl>
    <w:p w:rsidR="00000000" w:rsidRPr="00C17801" w:rsidP="00C17801">
      <w:pPr>
        <w:pStyle w:val="BodyText"/>
      </w:pPr>
    </w:p>
    <w:p w:rsidR="00000000" w:rsidRPr="00C17801" w:rsidP="00C17801">
      <w:pPr>
        <w:pStyle w:val="AllowPageBreak"/>
      </w:pPr>
    </w:p>
    <w:p w:rsidR="00000000" w:rsidRPr="00C17801" w:rsidP="00C17801">
      <w:pPr>
        <w:pStyle w:val="Heading1"/>
      </w:pPr>
      <w:bookmarkStart w:id="12" w:name="O_134894"/>
      <w:bookmarkEnd w:id="12"/>
      <w:r w:rsidRPr="00C17801">
        <w:t>Unit Sector(s)</w:t>
      </w:r>
    </w:p>
    <w:p w:rsidR="00000000" w:rsidRPr="00C17801" w:rsidP="00C17801">
      <w:pPr>
        <w:pStyle w:val="BodyText"/>
      </w:pPr>
      <w:r w:rsidRPr="00C17801">
        <w:t>Underground Mining</w:t>
      </w:r>
    </w:p>
    <w:p w:rsidR="00000000" w:rsidRPr="00C17801" w:rsidP="00C17801">
      <w:pPr>
        <w:pStyle w:val="AllowPageBreak"/>
      </w:pPr>
    </w:p>
    <w:p w:rsidR="00000000" w:rsidRPr="00C17801" w:rsidP="00C17801">
      <w:pPr>
        <w:pStyle w:val="Heading1"/>
      </w:pPr>
      <w:bookmarkStart w:id="13" w:name="O_162269"/>
      <w:bookmarkEnd w:id="13"/>
      <w:r w:rsidRPr="00C17801">
        <w:t>Competency field</w:t>
      </w:r>
    </w:p>
    <w:p w:rsidR="00000000" w:rsidRPr="00C17801" w:rsidP="00C17801">
      <w:pPr>
        <w:pStyle w:val="BodyText"/>
      </w:pPr>
      <w:r w:rsidRPr="00C17801">
        <w:t>Refer to Unit Sector(s).</w:t>
      </w:r>
    </w:p>
    <w:p w:rsidR="00000000" w:rsidRPr="00C17801" w:rsidP="00C17801">
      <w:pPr>
        <w:pStyle w:val="AllowPageBreak"/>
      </w:pPr>
    </w:p>
    <w:p w:rsidR="00000000" w:rsidRPr="00C17801" w:rsidP="00C17801">
      <w:pPr>
        <w:pStyle w:val="Heading1"/>
      </w:pPr>
      <w:bookmarkStart w:id="14" w:name="O_162268"/>
      <w:bookmarkEnd w:id="14"/>
      <w:r w:rsidRPr="00C17801">
        <w:t>Co-requisite units</w:t>
      </w:r>
    </w:p>
    <w:p w:rsidR="00000000" w:rsidRPr="00C17801" w:rsidP="00C17801">
      <w:pPr>
        <w:pStyle w:val="BodyText"/>
      </w:pPr>
      <w:r w:rsidRPr="00C17801">
        <w:t>Not applicable.</w:t>
      </w:r>
    </w:p>
    <w:p w:rsidR="00000000" w:rsidRPr="00C17801" w:rsidP="00C17801"/>
    <w:sectPr w:rsidSect="00C178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AD9" w:rsidP="00DA2A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9" w:rsidP="00C178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A2AD9" w:rsidP="00C178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A2AD9" w:rsidP="00C178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2AD9" w:rsidP="00DA2A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8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AD9" w:rsidP="00C17801">
    <w:pPr>
      <w:pStyle w:val="Header"/>
      <w:framePr w:wrap="around"/>
    </w:pPr>
    <w:r>
      <w:fldChar w:fldCharType="begin"/>
    </w:r>
    <w:r>
      <w:instrText xml:space="preserve"> TITLE   \* MERGEFORMAT </w:instrText>
    </w:r>
    <w:r>
      <w:fldChar w:fldCharType="separate"/>
    </w:r>
    <w:r>
      <w:t>RIIUND305A Recover underground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2AD9" w:rsidP="00C178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B29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E444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864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8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801"/>
    <w:pPr>
      <w:spacing w:before="360" w:after="60"/>
      <w:outlineLvl w:val="0"/>
    </w:pPr>
    <w:rPr>
      <w:sz w:val="32"/>
    </w:rPr>
  </w:style>
  <w:style w:type="paragraph" w:styleId="Heading2">
    <w:name w:val="heading 2"/>
    <w:basedOn w:val="HeadingBase"/>
    <w:next w:val="BodyText"/>
    <w:link w:val="Heading2Char"/>
    <w:qFormat/>
    <w:rsid w:val="00C17801"/>
    <w:pPr>
      <w:keepLines/>
      <w:spacing w:before="240" w:after="120"/>
      <w:outlineLvl w:val="1"/>
    </w:pPr>
    <w:rPr>
      <w:sz w:val="28"/>
      <w:szCs w:val="40"/>
    </w:rPr>
  </w:style>
  <w:style w:type="paragraph" w:styleId="Heading3">
    <w:name w:val="heading 3"/>
    <w:basedOn w:val="HeadingBase"/>
    <w:next w:val="BodyText"/>
    <w:link w:val="Heading3Char"/>
    <w:qFormat/>
    <w:rsid w:val="00C17801"/>
    <w:pPr>
      <w:spacing w:before="180" w:after="120"/>
      <w:outlineLvl w:val="2"/>
    </w:pPr>
    <w:rPr>
      <w:spacing w:val="-10"/>
      <w:kern w:val="32"/>
    </w:rPr>
  </w:style>
  <w:style w:type="paragraph" w:styleId="Heading4">
    <w:name w:val="heading 4"/>
    <w:basedOn w:val="HeadingBase"/>
    <w:next w:val="BodyText"/>
    <w:link w:val="Heading4Char"/>
    <w:qFormat/>
    <w:rsid w:val="00C17801"/>
    <w:pPr>
      <w:spacing w:before="160" w:after="120"/>
      <w:outlineLvl w:val="3"/>
    </w:pPr>
    <w:rPr>
      <w:sz w:val="22"/>
    </w:rPr>
  </w:style>
  <w:style w:type="paragraph" w:styleId="Heading5">
    <w:name w:val="heading 5"/>
    <w:basedOn w:val="HeadingBase"/>
    <w:next w:val="Normal"/>
    <w:link w:val="Heading5Char"/>
    <w:qFormat/>
    <w:rsid w:val="00C17801"/>
    <w:pPr>
      <w:spacing w:before="80"/>
      <w:outlineLvl w:val="4"/>
    </w:pPr>
    <w:rPr>
      <w:color w:val="918585"/>
      <w:sz w:val="20"/>
    </w:rPr>
  </w:style>
  <w:style w:type="paragraph" w:styleId="Heading6">
    <w:name w:val="heading 6"/>
    <w:basedOn w:val="HeadingBase"/>
    <w:next w:val="Normal"/>
    <w:link w:val="Heading6Char"/>
    <w:qFormat/>
    <w:rsid w:val="00C17801"/>
    <w:pPr>
      <w:spacing w:before="60"/>
      <w:outlineLvl w:val="5"/>
    </w:pPr>
    <w:rPr>
      <w:color w:val="918585"/>
      <w:sz w:val="20"/>
    </w:rPr>
  </w:style>
  <w:style w:type="paragraph" w:styleId="Heading7">
    <w:name w:val="heading 7"/>
    <w:basedOn w:val="Normal"/>
    <w:next w:val="Normal"/>
    <w:link w:val="Heading7Char"/>
    <w:qFormat/>
    <w:rsid w:val="00C17801"/>
    <w:pPr>
      <w:ind w:left="720"/>
      <w:outlineLvl w:val="6"/>
    </w:pPr>
    <w:rPr>
      <w:i/>
    </w:rPr>
  </w:style>
  <w:style w:type="paragraph" w:styleId="Heading8">
    <w:name w:val="heading 8"/>
    <w:basedOn w:val="Normal"/>
    <w:next w:val="Normal"/>
    <w:link w:val="Heading8Char"/>
    <w:qFormat/>
    <w:rsid w:val="00C17801"/>
    <w:pPr>
      <w:ind w:left="720"/>
      <w:outlineLvl w:val="7"/>
    </w:pPr>
    <w:rPr>
      <w:i/>
    </w:rPr>
  </w:style>
  <w:style w:type="paragraph" w:styleId="Heading9">
    <w:name w:val="heading 9"/>
    <w:basedOn w:val="Normal"/>
    <w:next w:val="Normal"/>
    <w:link w:val="Heading9Char"/>
    <w:qFormat/>
    <w:rsid w:val="00C17801"/>
    <w:pPr>
      <w:ind w:left="720"/>
      <w:outlineLvl w:val="8"/>
    </w:pPr>
    <w:rPr>
      <w:i/>
    </w:rPr>
  </w:style>
  <w:style w:type="character" w:default="1" w:styleId="DefaultParagraphFont">
    <w:name w:val="Default Paragraph Font"/>
    <w:uiPriority w:val="1"/>
    <w:unhideWhenUsed/>
    <w:rsid w:val="00C178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801"/>
  </w:style>
  <w:style w:type="character" w:customStyle="1" w:styleId="Heading1Char">
    <w:name w:val="Heading 1 Char"/>
    <w:basedOn w:val="DefaultParagraphFont"/>
    <w:link w:val="Heading1"/>
    <w:rsid w:val="00C17801"/>
    <w:rPr>
      <w:rFonts w:ascii="Times New Roman" w:eastAsia="Times New Roman" w:hAnsi="Times New Roman" w:cs="Times New Roman"/>
      <w:b/>
      <w:sz w:val="32"/>
      <w:szCs w:val="20"/>
      <w:lang w:eastAsia="en-US"/>
    </w:rPr>
  </w:style>
  <w:style w:type="paragraph" w:styleId="BodyText">
    <w:name w:val="Body Text"/>
    <w:basedOn w:val="Normal"/>
    <w:link w:val="BodyTextChar"/>
    <w:rsid w:val="00C178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801"/>
    <w:rPr>
      <w:rFonts w:ascii="Times New Roman" w:eastAsia="Times New Roman" w:hAnsi="Times New Roman" w:cs="Times New Roman"/>
      <w:sz w:val="24"/>
      <w:lang w:val="en-US" w:eastAsia="en-US"/>
    </w:rPr>
  </w:style>
  <w:style w:type="paragraph" w:styleId="Footer">
    <w:name w:val="footer"/>
    <w:basedOn w:val="Normal"/>
    <w:link w:val="FooterChar"/>
    <w:rsid w:val="00C178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801"/>
    <w:rPr>
      <w:rFonts w:ascii="Times New Roman" w:eastAsia="Times New Roman" w:hAnsi="Times New Roman" w:cs="Times New Roman"/>
      <w:sz w:val="16"/>
      <w:lang w:val="en-US" w:eastAsia="en-US"/>
    </w:rPr>
  </w:style>
  <w:style w:type="paragraph" w:styleId="List">
    <w:name w:val="List"/>
    <w:basedOn w:val="BodyText"/>
    <w:next w:val="BodyText"/>
    <w:rsid w:val="00C17801"/>
    <w:pPr>
      <w:tabs>
        <w:tab w:val="left" w:pos="340"/>
      </w:tabs>
      <w:spacing w:before="60" w:after="60"/>
      <w:ind w:left="340" w:hanging="340"/>
    </w:pPr>
  </w:style>
  <w:style w:type="paragraph" w:styleId="ListBullet">
    <w:name w:val="List Bullet"/>
    <w:basedOn w:val="List"/>
    <w:rsid w:val="00C17801"/>
    <w:pPr>
      <w:numPr>
        <w:numId w:val="13"/>
      </w:numPr>
      <w:tabs>
        <w:tab w:val="clear" w:pos="340"/>
      </w:tabs>
      <w:spacing w:before="40" w:after="40"/>
    </w:pPr>
  </w:style>
  <w:style w:type="character" w:customStyle="1" w:styleId="SpecialBold">
    <w:name w:val="Special Bold"/>
    <w:basedOn w:val="DefaultParagraphFont"/>
    <w:rsid w:val="00C17801"/>
    <w:rPr>
      <w:b/>
      <w:spacing w:val="0"/>
    </w:rPr>
  </w:style>
  <w:style w:type="paragraph" w:styleId="ListBullet2">
    <w:name w:val="List Bullet 2"/>
    <w:basedOn w:val="List2"/>
    <w:rsid w:val="00C17801"/>
    <w:pPr>
      <w:numPr>
        <w:numId w:val="14"/>
      </w:numPr>
      <w:tabs>
        <w:tab w:val="clear" w:pos="680"/>
      </w:tabs>
    </w:pPr>
  </w:style>
  <w:style w:type="paragraph" w:styleId="Header">
    <w:name w:val="header"/>
    <w:basedOn w:val="Normal"/>
    <w:link w:val="HeaderChar"/>
    <w:rsid w:val="00C178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8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801"/>
    <w:pPr>
      <w:spacing w:before="240" w:after="120"/>
      <w:outlineLvl w:val="0"/>
    </w:pPr>
    <w:rPr>
      <w:rFonts w:ascii="Times New Roman" w:hAnsi="Times New Roman"/>
      <w:b/>
      <w:sz w:val="28"/>
    </w:rPr>
  </w:style>
  <w:style w:type="paragraph" w:customStyle="1" w:styleId="AllowPageBreak">
    <w:name w:val="AllowPageBreak"/>
    <w:rsid w:val="00C178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801"/>
    <w:pPr>
      <w:tabs>
        <w:tab w:val="left" w:pos="680"/>
      </w:tabs>
      <w:spacing w:before="60" w:after="60"/>
      <w:ind w:left="680" w:hanging="340"/>
    </w:pPr>
  </w:style>
  <w:style w:type="character" w:customStyle="1" w:styleId="BoldandItalics">
    <w:name w:val="Bold and Italics"/>
    <w:qFormat/>
    <w:rsid w:val="00C17801"/>
    <w:rPr>
      <w:b/>
      <w:i/>
      <w:u w:val="none"/>
    </w:rPr>
  </w:style>
  <w:style w:type="character" w:customStyle="1" w:styleId="Heading2Char">
    <w:name w:val="Heading 2 Char"/>
    <w:basedOn w:val="DefaultParagraphFont"/>
    <w:link w:val="Heading2"/>
    <w:rsid w:val="00C178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8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8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8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8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8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8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801"/>
    <w:rPr>
      <w:rFonts w:ascii="Courier New" w:eastAsia="Times New Roman" w:hAnsi="Courier New" w:cs="Times New Roman"/>
      <w:i/>
      <w:szCs w:val="20"/>
      <w:lang w:val="en-US" w:eastAsia="en-US"/>
    </w:rPr>
  </w:style>
  <w:style w:type="paragraph" w:customStyle="1" w:styleId="HeadingBase">
    <w:name w:val="Heading Base"/>
    <w:rsid w:val="00C178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801"/>
    <w:pPr>
      <w:tabs>
        <w:tab w:val="right" w:leader="dot" w:pos="9072"/>
      </w:tabs>
      <w:ind w:left="567"/>
    </w:pPr>
    <w:rPr>
      <w:szCs w:val="22"/>
    </w:rPr>
  </w:style>
  <w:style w:type="paragraph" w:customStyle="1" w:styleId="TOCBase">
    <w:name w:val="TOC Base"/>
    <w:rsid w:val="00C178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801"/>
    <w:pPr>
      <w:tabs>
        <w:tab w:val="right" w:leader="dot" w:pos="9072"/>
      </w:tabs>
      <w:spacing w:before="40" w:after="40"/>
      <w:ind w:left="284"/>
    </w:pPr>
    <w:rPr>
      <w:rFonts w:ascii="Times New Roman" w:hAnsi="Times New Roman"/>
    </w:rPr>
  </w:style>
  <w:style w:type="paragraph" w:styleId="TOC1">
    <w:name w:val="toc 1"/>
    <w:basedOn w:val="TOCBase"/>
    <w:next w:val="Normal"/>
    <w:rsid w:val="00C178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801"/>
    <w:pPr>
      <w:spacing w:before="5040"/>
      <w:jc w:val="center"/>
    </w:pPr>
    <w:rPr>
      <w:sz w:val="48"/>
      <w:szCs w:val="72"/>
      <w:lang w:val="en-US"/>
    </w:rPr>
  </w:style>
  <w:style w:type="character" w:customStyle="1" w:styleId="TitleChar">
    <w:name w:val="Title Char"/>
    <w:basedOn w:val="DefaultParagraphFont"/>
    <w:link w:val="Title"/>
    <w:rsid w:val="00C178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801"/>
    <w:pPr>
      <w:tabs>
        <w:tab w:val="left" w:pos="3600"/>
        <w:tab w:val="left" w:pos="3958"/>
      </w:tabs>
    </w:pPr>
  </w:style>
  <w:style w:type="paragraph" w:customStyle="1" w:styleId="Note">
    <w:name w:val="Note"/>
    <w:basedOn w:val="BodyText"/>
    <w:rsid w:val="00C178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801"/>
    <w:pPr>
      <w:framePr w:wrap="auto" w:hAnchor="text" w:y="6049"/>
    </w:pPr>
    <w:rPr>
      <w:color w:val="000000"/>
      <w:sz w:val="40"/>
    </w:rPr>
  </w:style>
  <w:style w:type="paragraph" w:customStyle="1" w:styleId="TOCTitle">
    <w:name w:val="TOCTitle"/>
    <w:basedOn w:val="Heading1"/>
    <w:rsid w:val="00C17801"/>
    <w:pPr>
      <w:spacing w:after="240"/>
      <w:jc w:val="center"/>
      <w:outlineLvl w:val="9"/>
    </w:pPr>
    <w:rPr>
      <w:caps/>
    </w:rPr>
  </w:style>
  <w:style w:type="paragraph" w:customStyle="1" w:styleId="Version">
    <w:name w:val="Version"/>
    <w:rsid w:val="00C178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7801"/>
    <w:pPr>
      <w:keepNext w:val="0"/>
      <w:tabs>
        <w:tab w:val="right" w:pos="4176"/>
      </w:tabs>
      <w:ind w:left="198" w:hanging="198"/>
    </w:pPr>
    <w:rPr>
      <w:rFonts w:ascii="Garamond" w:hAnsi="Garamond"/>
    </w:rPr>
  </w:style>
  <w:style w:type="paragraph" w:styleId="IndexHeading">
    <w:name w:val="index heading"/>
    <w:basedOn w:val="Normal"/>
    <w:next w:val="Index1"/>
    <w:semiHidden/>
    <w:rsid w:val="00C17801"/>
    <w:pPr>
      <w:spacing w:before="120" w:after="120"/>
    </w:pPr>
    <w:rPr>
      <w:rFonts w:ascii="Arial" w:hAnsi="Arial"/>
      <w:b/>
      <w:color w:val="918585"/>
      <w:sz w:val="24"/>
    </w:rPr>
  </w:style>
  <w:style w:type="paragraph" w:customStyle="1" w:styleId="Chapter">
    <w:name w:val="Chapter"/>
    <w:basedOn w:val="Normal"/>
    <w:rsid w:val="00C17801"/>
    <w:pPr>
      <w:spacing w:before="240"/>
    </w:pPr>
    <w:rPr>
      <w:rFonts w:ascii="Times New Roman" w:hAnsi="Times New Roman"/>
      <w:smallCaps/>
      <w:spacing w:val="80"/>
      <w:sz w:val="28"/>
    </w:rPr>
  </w:style>
  <w:style w:type="paragraph" w:customStyle="1" w:styleId="InChapter">
    <w:name w:val="InChapter"/>
    <w:basedOn w:val="Heading3"/>
    <w:rsid w:val="00C17801"/>
    <w:pPr>
      <w:spacing w:after="240"/>
      <w:outlineLvl w:val="9"/>
    </w:pPr>
    <w:rPr>
      <w:noProof/>
    </w:rPr>
  </w:style>
  <w:style w:type="paragraph" w:styleId="Index2">
    <w:name w:val="index 2"/>
    <w:basedOn w:val="Normal"/>
    <w:next w:val="Normal"/>
    <w:semiHidden/>
    <w:rsid w:val="00C17801"/>
    <w:pPr>
      <w:tabs>
        <w:tab w:val="right" w:pos="4176"/>
      </w:tabs>
      <w:ind w:left="568" w:hanging="284"/>
    </w:pPr>
    <w:rPr>
      <w:rFonts w:ascii="Garamond" w:hAnsi="Garamond"/>
    </w:rPr>
  </w:style>
  <w:style w:type="paragraph" w:customStyle="1" w:styleId="Byline">
    <w:name w:val="Byline"/>
    <w:rsid w:val="00C178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801"/>
    <w:pPr>
      <w:tabs>
        <w:tab w:val="clear" w:pos="3600"/>
        <w:tab w:val="clear" w:pos="3958"/>
      </w:tabs>
      <w:jc w:val="right"/>
    </w:pPr>
  </w:style>
  <w:style w:type="character" w:styleId="Emphasis">
    <w:name w:val="Emphasis"/>
    <w:basedOn w:val="DefaultParagraphFont"/>
    <w:qFormat/>
    <w:rsid w:val="00C17801"/>
    <w:rPr>
      <w:i/>
    </w:rPr>
  </w:style>
  <w:style w:type="paragraph" w:styleId="Caption">
    <w:name w:val="caption"/>
    <w:basedOn w:val="BodyText"/>
    <w:next w:val="Normal"/>
    <w:qFormat/>
    <w:rsid w:val="00C17801"/>
    <w:pPr>
      <w:framePr w:w="2268" w:hSpace="181" w:vSpace="181" w:wrap="around" w:vAnchor="text" w:hAnchor="page" w:x="1135" w:y="285" w:anchorLock="1"/>
    </w:pPr>
    <w:rPr>
      <w:i/>
    </w:rPr>
  </w:style>
  <w:style w:type="paragraph" w:customStyle="1" w:styleId="MiniTOCTitle">
    <w:name w:val="MiniTOCTitle"/>
    <w:basedOn w:val="Heading4"/>
    <w:rsid w:val="00C17801"/>
    <w:pPr>
      <w:spacing w:before="240"/>
      <w:outlineLvl w:val="9"/>
    </w:pPr>
    <w:rPr>
      <w:noProof/>
      <w:sz w:val="24"/>
    </w:rPr>
  </w:style>
  <w:style w:type="paragraph" w:customStyle="1" w:styleId="MiniTOCItem">
    <w:name w:val="MiniTOCItem"/>
    <w:basedOn w:val="ListBullet"/>
    <w:rsid w:val="00C17801"/>
    <w:pPr>
      <w:numPr>
        <w:numId w:val="0"/>
      </w:numPr>
      <w:tabs>
        <w:tab w:val="right" w:leader="dot" w:pos="6521"/>
      </w:tabs>
      <w:spacing w:before="0" w:after="0"/>
    </w:pPr>
  </w:style>
  <w:style w:type="paragraph" w:customStyle="1" w:styleId="TOFTitle">
    <w:name w:val="TOFTitle"/>
    <w:basedOn w:val="TOCTitle"/>
    <w:rsid w:val="00C17801"/>
  </w:style>
  <w:style w:type="paragraph" w:styleId="TableofFigures">
    <w:name w:val="table of figures"/>
    <w:basedOn w:val="Normal"/>
    <w:next w:val="Normal"/>
    <w:semiHidden/>
    <w:rsid w:val="00C17801"/>
    <w:pPr>
      <w:tabs>
        <w:tab w:val="right" w:leader="dot" w:pos="9072"/>
      </w:tabs>
      <w:ind w:left="970" w:hanging="403"/>
    </w:pPr>
    <w:rPr>
      <w:rFonts w:ascii="Times New Roman" w:hAnsi="Times New Roman"/>
      <w:b/>
    </w:rPr>
  </w:style>
  <w:style w:type="paragraph" w:styleId="ListNumber">
    <w:name w:val="List Number"/>
    <w:basedOn w:val="List"/>
    <w:rsid w:val="00C17801"/>
    <w:pPr>
      <w:numPr>
        <w:numId w:val="11"/>
      </w:numPr>
    </w:pPr>
  </w:style>
  <w:style w:type="character" w:customStyle="1" w:styleId="WingdingSymbols">
    <w:name w:val="Wingding Symbols"/>
    <w:rsid w:val="00C17801"/>
    <w:rPr>
      <w:rFonts w:ascii="Wingdings" w:hAnsi="Wingdings"/>
    </w:rPr>
  </w:style>
  <w:style w:type="paragraph" w:customStyle="1" w:styleId="TableHeading">
    <w:name w:val="Table Heading"/>
    <w:basedOn w:val="HeadingBase"/>
    <w:rsid w:val="00C17801"/>
    <w:pPr>
      <w:keepLines/>
      <w:pBdr>
        <w:bottom w:val="single" w:sz="6" w:space="1" w:color="918585"/>
      </w:pBdr>
      <w:spacing w:before="240"/>
    </w:pPr>
  </w:style>
  <w:style w:type="character" w:customStyle="1" w:styleId="HotSpot">
    <w:name w:val="HotSpot"/>
    <w:rsid w:val="00C17801"/>
    <w:rPr>
      <w:color w:val="0033CC"/>
      <w:u w:val="none"/>
    </w:rPr>
  </w:style>
  <w:style w:type="paragraph" w:customStyle="1" w:styleId="BodyTextRight">
    <w:name w:val="Body Text Right"/>
    <w:basedOn w:val="BodyText"/>
    <w:rsid w:val="00C17801"/>
    <w:pPr>
      <w:spacing w:before="0" w:after="0"/>
      <w:jc w:val="right"/>
    </w:pPr>
  </w:style>
  <w:style w:type="paragraph" w:styleId="Index3">
    <w:name w:val="index 3"/>
    <w:basedOn w:val="ListNumber2"/>
    <w:next w:val="Normal"/>
    <w:semiHidden/>
    <w:rsid w:val="00C17801"/>
    <w:pPr>
      <w:numPr>
        <w:numId w:val="0"/>
      </w:numPr>
      <w:tabs>
        <w:tab w:val="right" w:leader="dot" w:pos="4176"/>
      </w:tabs>
    </w:pPr>
  </w:style>
  <w:style w:type="paragraph" w:styleId="ListNumber2">
    <w:name w:val="List Number 2"/>
    <w:basedOn w:val="List2"/>
    <w:rsid w:val="00C17801"/>
    <w:pPr>
      <w:numPr>
        <w:numId w:val="10"/>
      </w:numPr>
      <w:tabs>
        <w:tab w:val="clear" w:pos="1060"/>
      </w:tabs>
    </w:pPr>
  </w:style>
  <w:style w:type="paragraph" w:customStyle="1" w:styleId="MarginNote">
    <w:name w:val="Margin Note"/>
    <w:basedOn w:val="BodyText"/>
    <w:rsid w:val="00C178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8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8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801"/>
    <w:rPr>
      <w:sz w:val="32"/>
    </w:rPr>
  </w:style>
  <w:style w:type="paragraph" w:customStyle="1" w:styleId="HeadingProcedure">
    <w:name w:val="Heading Procedure"/>
    <w:basedOn w:val="HeadingBase"/>
    <w:next w:val="Normal"/>
    <w:rsid w:val="00C17801"/>
    <w:pPr>
      <w:tabs>
        <w:tab w:val="left" w:pos="0"/>
      </w:tabs>
      <w:spacing w:before="120" w:after="60"/>
    </w:pPr>
    <w:rPr>
      <w:i/>
      <w:color w:val="918585"/>
      <w:sz w:val="22"/>
    </w:rPr>
  </w:style>
  <w:style w:type="paragraph" w:customStyle="1" w:styleId="TableBodyText">
    <w:name w:val="Table Body Text"/>
    <w:basedOn w:val="BodyText"/>
    <w:rsid w:val="00C17801"/>
    <w:pPr>
      <w:spacing w:before="60" w:after="60"/>
    </w:pPr>
  </w:style>
  <w:style w:type="paragraph" w:styleId="ListContinue">
    <w:name w:val="List Continue"/>
    <w:basedOn w:val="List"/>
    <w:rsid w:val="00C17801"/>
    <w:pPr>
      <w:ind w:firstLine="0"/>
    </w:pPr>
  </w:style>
  <w:style w:type="paragraph" w:customStyle="1" w:styleId="ListNote">
    <w:name w:val="List Note"/>
    <w:basedOn w:val="List"/>
    <w:rsid w:val="00C17801"/>
    <w:pPr>
      <w:pBdr>
        <w:top w:val="single" w:sz="6" w:space="2" w:color="918585"/>
        <w:bottom w:val="single" w:sz="6" w:space="2" w:color="918585"/>
      </w:pBdr>
      <w:tabs>
        <w:tab w:val="left" w:pos="1021"/>
      </w:tabs>
      <w:ind w:firstLine="0"/>
    </w:pPr>
  </w:style>
  <w:style w:type="paragraph" w:customStyle="1" w:styleId="Warning">
    <w:name w:val="Warning"/>
    <w:basedOn w:val="BodyText"/>
    <w:rsid w:val="00C17801"/>
    <w:pPr>
      <w:shd w:val="clear" w:color="auto" w:fill="D9D9D9"/>
      <w:tabs>
        <w:tab w:val="left" w:pos="992"/>
      </w:tabs>
      <w:ind w:left="119" w:right="119"/>
    </w:pPr>
    <w:rPr>
      <w:sz w:val="20"/>
    </w:rPr>
  </w:style>
  <w:style w:type="paragraph" w:customStyle="1" w:styleId="MarginIcons">
    <w:name w:val="Margin Icons"/>
    <w:basedOn w:val="BodyText"/>
    <w:rsid w:val="00C178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801"/>
    <w:rPr>
      <w:rFonts w:ascii="Courier New" w:hAnsi="Courier New"/>
    </w:rPr>
  </w:style>
  <w:style w:type="paragraph" w:customStyle="1" w:styleId="NoteBullet">
    <w:name w:val="Note Bullet"/>
    <w:basedOn w:val="Note"/>
    <w:rsid w:val="00C17801"/>
    <w:pPr>
      <w:tabs>
        <w:tab w:val="clear" w:pos="680"/>
      </w:tabs>
      <w:spacing w:before="60" w:after="60"/>
    </w:pPr>
  </w:style>
  <w:style w:type="paragraph" w:customStyle="1" w:styleId="SubHeading2">
    <w:name w:val="SubHeading2"/>
    <w:basedOn w:val="HeadingBase"/>
    <w:rsid w:val="00C17801"/>
    <w:pPr>
      <w:spacing w:before="240" w:after="60"/>
    </w:pPr>
    <w:rPr>
      <w:sz w:val="20"/>
    </w:rPr>
  </w:style>
  <w:style w:type="paragraph" w:customStyle="1" w:styleId="SubHeading1">
    <w:name w:val="SubHeading1"/>
    <w:basedOn w:val="HeadingBase"/>
    <w:rsid w:val="00C17801"/>
    <w:pPr>
      <w:spacing w:before="240" w:after="60"/>
    </w:pPr>
    <w:rPr>
      <w:color w:val="918585"/>
      <w:sz w:val="22"/>
    </w:rPr>
  </w:style>
  <w:style w:type="paragraph" w:customStyle="1" w:styleId="SideHeading">
    <w:name w:val="Side Heading"/>
    <w:basedOn w:val="HeadingBase"/>
    <w:rsid w:val="00C178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801"/>
    <w:pPr>
      <w:numPr>
        <w:numId w:val="12"/>
      </w:numPr>
    </w:pPr>
  </w:style>
  <w:style w:type="paragraph" w:styleId="PlainText">
    <w:name w:val="Plain Text"/>
    <w:basedOn w:val="Normal"/>
    <w:link w:val="PlainTextChar"/>
    <w:rsid w:val="00C17801"/>
    <w:rPr>
      <w:sz w:val="20"/>
    </w:rPr>
  </w:style>
  <w:style w:type="character" w:customStyle="1" w:styleId="PlainTextChar">
    <w:name w:val="Plain Text Char"/>
    <w:basedOn w:val="DefaultParagraphFont"/>
    <w:link w:val="PlainText"/>
    <w:rsid w:val="00C178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801"/>
    <w:rPr>
      <w:b/>
      <w:smallCaps/>
    </w:rPr>
  </w:style>
  <w:style w:type="paragraph" w:customStyle="1" w:styleId="TableListNumber">
    <w:name w:val="Table List Number"/>
    <w:basedOn w:val="ListNumber"/>
    <w:rsid w:val="00C17801"/>
    <w:pPr>
      <w:numPr>
        <w:numId w:val="0"/>
      </w:numPr>
    </w:pPr>
  </w:style>
  <w:style w:type="paragraph" w:styleId="TOC4">
    <w:name w:val="toc 4"/>
    <w:basedOn w:val="TOCBase"/>
    <w:next w:val="Normal"/>
    <w:semiHidden/>
    <w:rsid w:val="00C17801"/>
    <w:pPr>
      <w:tabs>
        <w:tab w:val="right" w:leader="dot" w:pos="9071"/>
      </w:tabs>
      <w:ind w:left="1701"/>
    </w:pPr>
  </w:style>
  <w:style w:type="paragraph" w:customStyle="1" w:styleId="ListAlpha">
    <w:name w:val="List Alpha"/>
    <w:basedOn w:val="List"/>
    <w:rsid w:val="00C17801"/>
    <w:pPr>
      <w:numPr>
        <w:numId w:val="9"/>
      </w:numPr>
    </w:pPr>
  </w:style>
  <w:style w:type="paragraph" w:customStyle="1" w:styleId="ListAlpha2">
    <w:name w:val="List Alpha 2"/>
    <w:basedOn w:val="List2"/>
    <w:rsid w:val="00C17801"/>
    <w:pPr>
      <w:numPr>
        <w:numId w:val="8"/>
      </w:numPr>
    </w:pPr>
  </w:style>
  <w:style w:type="paragraph" w:styleId="List3">
    <w:name w:val="List 3"/>
    <w:basedOn w:val="BodyText"/>
    <w:rsid w:val="00C17801"/>
    <w:pPr>
      <w:tabs>
        <w:tab w:val="left" w:pos="1021"/>
      </w:tabs>
      <w:spacing w:before="60" w:after="60"/>
      <w:ind w:left="1020" w:hanging="340"/>
    </w:pPr>
  </w:style>
  <w:style w:type="paragraph" w:styleId="List4">
    <w:name w:val="List 4"/>
    <w:basedOn w:val="BodyText"/>
    <w:rsid w:val="00C17801"/>
    <w:pPr>
      <w:tabs>
        <w:tab w:val="left" w:pos="1361"/>
      </w:tabs>
      <w:spacing w:before="60" w:after="60"/>
      <w:ind w:left="1361" w:hanging="340"/>
    </w:pPr>
  </w:style>
  <w:style w:type="paragraph" w:styleId="List5">
    <w:name w:val="List 5"/>
    <w:basedOn w:val="BodyText"/>
    <w:rsid w:val="00C17801"/>
    <w:pPr>
      <w:tabs>
        <w:tab w:val="left" w:pos="1701"/>
      </w:tabs>
      <w:spacing w:before="60" w:after="60"/>
      <w:ind w:left="1701" w:hanging="340"/>
    </w:pPr>
  </w:style>
  <w:style w:type="paragraph" w:styleId="ListBullet3">
    <w:name w:val="List Bullet 3"/>
    <w:basedOn w:val="List3"/>
    <w:rsid w:val="00C17801"/>
    <w:pPr>
      <w:numPr>
        <w:numId w:val="15"/>
      </w:numPr>
      <w:tabs>
        <w:tab w:val="clear" w:pos="1021"/>
      </w:tabs>
      <w:ind w:left="1037" w:hanging="357"/>
    </w:pPr>
  </w:style>
  <w:style w:type="paragraph" w:styleId="ListBullet4">
    <w:name w:val="List Bullet 4"/>
    <w:basedOn w:val="List4"/>
    <w:rsid w:val="00C17801"/>
    <w:pPr>
      <w:numPr>
        <w:numId w:val="3"/>
      </w:numPr>
    </w:pPr>
  </w:style>
  <w:style w:type="paragraph" w:styleId="ListBullet5">
    <w:name w:val="List Bullet 5"/>
    <w:basedOn w:val="List5"/>
    <w:rsid w:val="00C17801"/>
    <w:pPr>
      <w:numPr>
        <w:numId w:val="4"/>
      </w:numPr>
    </w:pPr>
  </w:style>
  <w:style w:type="paragraph" w:styleId="ListContinue2">
    <w:name w:val="List Continue 2"/>
    <w:basedOn w:val="List2"/>
    <w:rsid w:val="00C17801"/>
    <w:pPr>
      <w:ind w:firstLine="0"/>
    </w:pPr>
  </w:style>
  <w:style w:type="paragraph" w:styleId="ListContinue3">
    <w:name w:val="List Continue 3"/>
    <w:basedOn w:val="List3"/>
    <w:rsid w:val="00C17801"/>
    <w:pPr>
      <w:ind w:left="1021" w:firstLine="0"/>
    </w:pPr>
  </w:style>
  <w:style w:type="paragraph" w:styleId="ListContinue4">
    <w:name w:val="List Continue 4"/>
    <w:basedOn w:val="List4"/>
    <w:rsid w:val="00C17801"/>
    <w:pPr>
      <w:ind w:firstLine="0"/>
    </w:pPr>
  </w:style>
  <w:style w:type="paragraph" w:styleId="ListContinue5">
    <w:name w:val="List Continue 5"/>
    <w:basedOn w:val="List5"/>
    <w:rsid w:val="00C17801"/>
    <w:pPr>
      <w:ind w:firstLine="0"/>
    </w:pPr>
  </w:style>
  <w:style w:type="paragraph" w:styleId="ListNumber3">
    <w:name w:val="List Number 3"/>
    <w:basedOn w:val="List3"/>
    <w:rsid w:val="00C17801"/>
    <w:pPr>
      <w:numPr>
        <w:numId w:val="5"/>
      </w:numPr>
    </w:pPr>
  </w:style>
  <w:style w:type="paragraph" w:styleId="ListNumber4">
    <w:name w:val="List Number 4"/>
    <w:basedOn w:val="List4"/>
    <w:rsid w:val="00C17801"/>
    <w:pPr>
      <w:numPr>
        <w:numId w:val="6"/>
      </w:numPr>
    </w:pPr>
  </w:style>
  <w:style w:type="paragraph" w:styleId="ListNumber5">
    <w:name w:val="List Number 5"/>
    <w:basedOn w:val="List5"/>
    <w:rsid w:val="00C17801"/>
    <w:pPr>
      <w:numPr>
        <w:numId w:val="7"/>
      </w:numPr>
    </w:pPr>
  </w:style>
  <w:style w:type="paragraph" w:styleId="BlockText">
    <w:name w:val="Block Text"/>
    <w:basedOn w:val="Normal"/>
    <w:rsid w:val="00C17801"/>
    <w:pPr>
      <w:spacing w:after="120"/>
      <w:ind w:left="1440" w:right="1440"/>
    </w:pPr>
  </w:style>
  <w:style w:type="character" w:customStyle="1" w:styleId="Subscript">
    <w:name w:val="Subscript"/>
    <w:basedOn w:val="DefaultParagraphFont"/>
    <w:rsid w:val="00C17801"/>
    <w:rPr>
      <w:sz w:val="16"/>
      <w:vertAlign w:val="subscript"/>
    </w:rPr>
  </w:style>
  <w:style w:type="character" w:customStyle="1" w:styleId="Superscript">
    <w:name w:val="Superscript"/>
    <w:basedOn w:val="DefaultParagraphFont"/>
    <w:rsid w:val="00C17801"/>
    <w:rPr>
      <w:sz w:val="16"/>
      <w:vertAlign w:val="superscript"/>
    </w:rPr>
  </w:style>
  <w:style w:type="character" w:customStyle="1" w:styleId="Symbols">
    <w:name w:val="Symbols"/>
    <w:basedOn w:val="DefaultParagraphFont"/>
    <w:rsid w:val="00C17801"/>
    <w:rPr>
      <w:rFonts w:ascii="Symbol" w:hAnsi="Symbol"/>
    </w:rPr>
  </w:style>
  <w:style w:type="character" w:customStyle="1" w:styleId="MenuOptions">
    <w:name w:val="Menu Options"/>
    <w:basedOn w:val="DefaultParagraphFont"/>
    <w:rsid w:val="00C17801"/>
    <w:rPr>
      <w:rFonts w:ascii="Arial Narrow" w:hAnsi="Arial Narrow"/>
      <w:smallCaps/>
    </w:rPr>
  </w:style>
  <w:style w:type="character" w:customStyle="1" w:styleId="Buttons">
    <w:name w:val="Buttons"/>
    <w:basedOn w:val="DefaultParagraphFont"/>
    <w:rsid w:val="00C17801"/>
    <w:rPr>
      <w:b/>
    </w:rPr>
  </w:style>
  <w:style w:type="character" w:customStyle="1" w:styleId="Underlined">
    <w:name w:val="Underlined"/>
    <w:basedOn w:val="DefaultParagraphFont"/>
    <w:rsid w:val="00C17801"/>
    <w:rPr>
      <w:u w:val="single"/>
    </w:rPr>
  </w:style>
  <w:style w:type="paragraph" w:customStyle="1" w:styleId="TableBodyTextRight">
    <w:name w:val="Table Body Text Right"/>
    <w:basedOn w:val="TableBodyText"/>
    <w:rsid w:val="00C17801"/>
    <w:pPr>
      <w:widowControl w:val="0"/>
      <w:autoSpaceDE w:val="0"/>
      <w:autoSpaceDN w:val="0"/>
      <w:adjustRightInd w:val="0"/>
      <w:jc w:val="right"/>
    </w:pPr>
    <w:rPr>
      <w:rFonts w:cs="Arial"/>
      <w:szCs w:val="18"/>
    </w:rPr>
  </w:style>
  <w:style w:type="paragraph" w:customStyle="1" w:styleId="CopyrightText">
    <w:name w:val="Copyright Text"/>
    <w:basedOn w:val="BodyText"/>
    <w:rsid w:val="00C17801"/>
    <w:rPr>
      <w:sz w:val="18"/>
    </w:rPr>
  </w:style>
  <w:style w:type="paragraph" w:customStyle="1" w:styleId="BodySmallRight">
    <w:name w:val="Body Small Right"/>
    <w:basedOn w:val="BodyTextRight"/>
    <w:rsid w:val="00C17801"/>
    <w:rPr>
      <w:sz w:val="18"/>
      <w:szCs w:val="18"/>
    </w:rPr>
  </w:style>
  <w:style w:type="paragraph" w:customStyle="1" w:styleId="MarginEdition">
    <w:name w:val="Margin Edition"/>
    <w:basedOn w:val="MarginNote"/>
    <w:rsid w:val="00C17801"/>
    <w:pPr>
      <w:spacing w:before="0" w:after="0"/>
    </w:pPr>
    <w:rPr>
      <w:rFonts w:ascii="Times New Roman" w:hAnsi="Times New Roman"/>
      <w:color w:val="999999"/>
    </w:rPr>
  </w:style>
  <w:style w:type="paragraph" w:customStyle="1" w:styleId="Spacer">
    <w:name w:val="Spacer"/>
    <w:basedOn w:val="Normal"/>
    <w:rsid w:val="00C17801"/>
    <w:rPr>
      <w:sz w:val="2"/>
      <w:szCs w:val="2"/>
    </w:rPr>
  </w:style>
  <w:style w:type="character" w:customStyle="1" w:styleId="Small">
    <w:name w:val="Small"/>
    <w:basedOn w:val="DefaultParagraphFont"/>
    <w:rsid w:val="00C17801"/>
    <w:rPr>
      <w:sz w:val="16"/>
    </w:rPr>
  </w:style>
  <w:style w:type="paragraph" w:customStyle="1" w:styleId="WideTable">
    <w:name w:val="Wide Table"/>
    <w:basedOn w:val="Normal"/>
    <w:rsid w:val="00C17801"/>
    <w:pPr>
      <w:ind w:left="-1418"/>
    </w:pPr>
    <w:rPr>
      <w:sz w:val="2"/>
      <w:szCs w:val="2"/>
    </w:rPr>
  </w:style>
  <w:style w:type="character" w:styleId="PageNumber">
    <w:name w:val="page number"/>
    <w:basedOn w:val="DefaultParagraphFont"/>
    <w:rsid w:val="00C17801"/>
  </w:style>
  <w:style w:type="paragraph" w:styleId="Quote">
    <w:name w:val="Quote"/>
    <w:basedOn w:val="Heading1"/>
    <w:link w:val="QuoteChar"/>
    <w:qFormat/>
    <w:rsid w:val="00C17801"/>
    <w:rPr>
      <w:b w:val="0"/>
      <w:sz w:val="72"/>
      <w:szCs w:val="72"/>
      <w:lang w:val="en-NZ"/>
    </w:rPr>
  </w:style>
  <w:style w:type="character" w:customStyle="1" w:styleId="QuoteChar">
    <w:name w:val="Quote Char"/>
    <w:basedOn w:val="DefaultParagraphFont"/>
    <w:link w:val="Quote"/>
    <w:rsid w:val="00C178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801"/>
    <w:pPr>
      <w:pageBreakBefore/>
    </w:pPr>
  </w:style>
  <w:style w:type="paragraph" w:customStyle="1" w:styleId="Border">
    <w:name w:val="Border"/>
    <w:basedOn w:val="Normal"/>
    <w:qFormat/>
    <w:rsid w:val="00C178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801"/>
    <w:rPr>
      <w:b/>
      <w:bCs/>
      <w:i/>
      <w:iCs/>
      <w:color w:val="auto"/>
    </w:rPr>
  </w:style>
  <w:style w:type="paragraph" w:styleId="IntenseQuote">
    <w:name w:val="Intense Quote"/>
    <w:basedOn w:val="Normal"/>
    <w:next w:val="Normal"/>
    <w:link w:val="IntenseQuoteChar"/>
    <w:uiPriority w:val="30"/>
    <w:qFormat/>
    <w:rsid w:val="00C178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8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801"/>
    <w:rPr>
      <w:smallCaps/>
      <w:color w:val="auto"/>
      <w:u w:val="single"/>
    </w:rPr>
  </w:style>
  <w:style w:type="character" w:styleId="IntenseReference">
    <w:name w:val="Intense Reference"/>
    <w:basedOn w:val="DefaultParagraphFont"/>
    <w:uiPriority w:val="32"/>
    <w:qFormat/>
    <w:rsid w:val="00C17801"/>
    <w:rPr>
      <w:b/>
      <w:bCs/>
      <w:smallCaps/>
      <w:color w:val="auto"/>
      <w:spacing w:val="5"/>
      <w:u w:val="single"/>
    </w:rPr>
  </w:style>
  <w:style w:type="paragraph" w:customStyle="1" w:styleId="2ColumnHeading">
    <w:name w:val="2Column Heading"/>
    <w:basedOn w:val="BodyText"/>
    <w:qFormat/>
    <w:rsid w:val="00C17801"/>
    <w:pPr>
      <w:spacing w:after="60"/>
      <w:ind w:left="-2268"/>
    </w:pPr>
    <w:rPr>
      <w:b/>
    </w:rPr>
  </w:style>
  <w:style w:type="paragraph" w:customStyle="1" w:styleId="Heading1TOC">
    <w:name w:val="Heading1 TOC"/>
    <w:basedOn w:val="Normal"/>
    <w:qFormat/>
    <w:rsid w:val="00C17801"/>
    <w:pPr>
      <w:spacing w:before="240" w:after="120"/>
    </w:pPr>
    <w:rPr>
      <w:rFonts w:ascii="Times New Roman" w:hAnsi="Times New Roman"/>
      <w:b/>
      <w:sz w:val="32"/>
    </w:rPr>
  </w:style>
  <w:style w:type="paragraph" w:customStyle="1" w:styleId="Heading2TOC">
    <w:name w:val="Heading2 TOC"/>
    <w:basedOn w:val="Normal"/>
    <w:qFormat/>
    <w:rsid w:val="00C17801"/>
    <w:pPr>
      <w:spacing w:before="240" w:after="60"/>
    </w:pPr>
    <w:rPr>
      <w:rFonts w:ascii="Times New Roman" w:hAnsi="Times New Roman"/>
      <w:b/>
      <w:sz w:val="28"/>
    </w:rPr>
  </w:style>
  <w:style w:type="character" w:customStyle="1" w:styleId="Underline">
    <w:name w:val="Underline"/>
    <w:basedOn w:val="DefaultParagraphFont"/>
    <w:qFormat/>
    <w:rsid w:val="00C17801"/>
    <w:rPr>
      <w:u w:val="single"/>
    </w:rPr>
  </w:style>
  <w:style w:type="paragraph" w:styleId="BalloonText">
    <w:name w:val="Balloon Text"/>
    <w:basedOn w:val="Normal"/>
    <w:link w:val="BalloonTextChar"/>
    <w:rsid w:val="00C17801"/>
    <w:rPr>
      <w:rFonts w:ascii="Tahoma" w:hAnsi="Tahoma" w:cs="Tahoma"/>
      <w:sz w:val="16"/>
      <w:szCs w:val="16"/>
    </w:rPr>
  </w:style>
  <w:style w:type="character" w:customStyle="1" w:styleId="BalloonTextChar">
    <w:name w:val="Balloon Text Char"/>
    <w:basedOn w:val="DefaultParagraphFont"/>
    <w:link w:val="BalloonText"/>
    <w:rsid w:val="00C178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8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8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8706</Characters>
  <Application>Microsoft Office Word</Application>
  <DocSecurity>0</DocSecurity>
  <Lines>302</Lines>
  <Paragraphs>153</Paragraphs>
  <ScaleCrop>false</ScaleCrop>
  <Company>Author-it Software Corporation Ltd.</Company>
  <LinksUpToDate>false</LinksUpToDate>
  <CharactersWithSpaces>10009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RIIUND305A Recover underground equipment</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2012-05-26T21:25:00Z</dcterms:created>
  <dcterms:modified xsi:type="dcterms:W3CDTF">2012-05-26T21:25:00Z</dcterms:modified>
</cp:coreProperties>
</file>