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16F" w:rsidP="00EC516F">
      <w:pPr>
        <w:pStyle w:val="Title"/>
      </w:pPr>
      <w:r>
        <w:fldChar w:fldCharType="begin"/>
      </w:r>
      <w:r>
        <w:instrText xml:space="preserve"> TITLE   \* MERGEFORMAT </w:instrText>
      </w:r>
      <w:r>
        <w:fldChar w:fldCharType="separate"/>
      </w:r>
      <w:r>
        <w:t>RIISTD202A Collect routine site samples</w:t>
      </w:r>
      <w:r>
        <w:fldChar w:fldCharType="end"/>
      </w:r>
    </w:p>
    <w:p w:rsidR="00EC516F" w:rsidP="00EC516F">
      <w:pPr>
        <w:pStyle w:val="Version"/>
        <w:sectPr w:rsidSect="00F017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7A7" w:rsidP="00F017A7">
      <w:pPr>
        <w:pStyle w:val="SuperHeading"/>
      </w:pPr>
      <w:r w:rsidRPr="00F017A7">
        <w:t>RIISTD202A Collect routine site samples</w:t>
      </w:r>
    </w:p>
    <w:p w:rsidR="00000000" w:rsidRPr="00F017A7" w:rsidP="00F017A7">
      <w:pPr>
        <w:pStyle w:val="Heading1"/>
      </w:pPr>
      <w:bookmarkStart w:id="1" w:name="O_134571"/>
      <w:bookmarkEnd w:id="1"/>
      <w:r w:rsidRPr="00F017A7">
        <w:t>Modification History</w:t>
      </w:r>
    </w:p>
    <w:p w:rsidR="00000000" w:rsidRPr="00F017A7" w:rsidP="00F017A7">
      <w:pPr>
        <w:pStyle w:val="BodyText"/>
      </w:pPr>
      <w:r w:rsidRPr="00F017A7">
        <w:t>Not applicable.</w:t>
      </w:r>
    </w:p>
    <w:p w:rsidR="00000000" w:rsidRPr="00F017A7" w:rsidP="00F017A7">
      <w:pPr>
        <w:pStyle w:val="AllowPageBreak"/>
      </w:pPr>
    </w:p>
    <w:p w:rsidR="00000000" w:rsidRPr="00F017A7" w:rsidP="00F017A7">
      <w:pPr>
        <w:pStyle w:val="Heading1"/>
      </w:pPr>
      <w:bookmarkStart w:id="2" w:name="O_134572"/>
      <w:bookmarkEnd w:id="2"/>
      <w:r w:rsidRPr="00F017A7">
        <w:t>Unit Descriptor</w:t>
      </w:r>
    </w:p>
    <w:p w:rsidR="00000000" w:rsidRPr="00F017A7" w:rsidP="00F017A7">
      <w:pPr>
        <w:pStyle w:val="BodyText"/>
      </w:pPr>
      <w:r w:rsidRPr="00F017A7">
        <w:t>This unit covers the collection of routine site samples in resources and infrastructure industries.  It includes the requirement</w:t>
      </w:r>
      <w:r w:rsidRPr="00F017A7">
        <w:t>s for the preparation for sampling, conducting sample collection; preparing samples, dispatching samples and maintaining the sampling environment.</w:t>
      </w:r>
    </w:p>
    <w:p w:rsidR="00000000" w:rsidRPr="00F017A7" w:rsidP="00F017A7">
      <w:pPr>
        <w:pStyle w:val="AllowPageBreak"/>
      </w:pPr>
    </w:p>
    <w:p w:rsidR="00000000" w:rsidRPr="00F017A7" w:rsidP="00F017A7">
      <w:pPr>
        <w:pStyle w:val="Heading1"/>
      </w:pPr>
      <w:bookmarkStart w:id="3" w:name="O_134573"/>
      <w:bookmarkEnd w:id="3"/>
      <w:r w:rsidRPr="00F017A7">
        <w:t>Application of the Unit</w:t>
      </w:r>
    </w:p>
    <w:p w:rsidR="00000000" w:rsidRPr="00F017A7" w:rsidP="00F017A7">
      <w:pPr>
        <w:pStyle w:val="BodyText"/>
      </w:pPr>
      <w:r w:rsidRPr="00F017A7">
        <w:t>This unit is appropriate for those working in production operator, f</w:t>
      </w:r>
      <w:r w:rsidRPr="00F017A7">
        <w:t>ield assistant and laboratory assistant roles, at worksites within:</w:t>
      </w:r>
    </w:p>
    <w:p w:rsidR="00000000" w:rsidRPr="00F017A7" w:rsidP="00F017A7">
      <w:pPr>
        <w:pStyle w:val="ListBullet"/>
      </w:pPr>
      <w:r w:rsidRPr="00F017A7">
        <w:t>Civil construction</w:t>
      </w:r>
    </w:p>
    <w:p w:rsidR="00000000" w:rsidRPr="00F017A7" w:rsidP="00F017A7">
      <w:pPr>
        <w:pStyle w:val="ListBullet"/>
      </w:pPr>
      <w:r w:rsidRPr="00F017A7">
        <w:t>Coal mining</w:t>
      </w:r>
    </w:p>
    <w:p w:rsidR="00000000" w:rsidRPr="00F017A7" w:rsidP="00F017A7">
      <w:pPr>
        <w:pStyle w:val="ListBullet"/>
      </w:pPr>
      <w:r w:rsidRPr="00F017A7">
        <w:t>Drilling</w:t>
      </w:r>
    </w:p>
    <w:p w:rsidR="00000000" w:rsidRPr="00F017A7" w:rsidP="00F017A7">
      <w:pPr>
        <w:pStyle w:val="ListBullet"/>
      </w:pPr>
      <w:r w:rsidRPr="00F017A7">
        <w:t xml:space="preserve">Extractive industries </w:t>
      </w:r>
    </w:p>
    <w:p w:rsidR="00000000" w:rsidRPr="00F017A7" w:rsidP="00F017A7">
      <w:pPr>
        <w:pStyle w:val="ListBullet"/>
      </w:pPr>
      <w:r w:rsidRPr="00F017A7">
        <w:t>Metalliferous mining</w:t>
      </w:r>
    </w:p>
    <w:p w:rsidR="00000000" w:rsidRPr="00F017A7" w:rsidP="00F017A7">
      <w:pPr>
        <w:pStyle w:val="ListBullet"/>
      </w:pPr>
      <w:r w:rsidRPr="00F017A7">
        <w:t>Mineral exploration</w:t>
      </w:r>
    </w:p>
    <w:p w:rsidR="00000000" w:rsidRPr="00F017A7" w:rsidP="00F017A7">
      <w:pPr>
        <w:pStyle w:val="AllowPageBreak"/>
      </w:pPr>
    </w:p>
    <w:p w:rsidR="00000000" w:rsidRPr="00F017A7" w:rsidP="00F017A7">
      <w:pPr>
        <w:pStyle w:val="Heading1"/>
      </w:pPr>
      <w:bookmarkStart w:id="4" w:name="O_134574"/>
      <w:bookmarkEnd w:id="4"/>
      <w:r w:rsidRPr="00F017A7">
        <w:t>Licensing/Regulatory Information</w:t>
      </w:r>
    </w:p>
    <w:p w:rsidR="00000000" w:rsidRPr="00F017A7" w:rsidP="00F017A7">
      <w:pPr>
        <w:pStyle w:val="BodyText"/>
      </w:pPr>
      <w:r w:rsidRPr="00F017A7">
        <w:t>Refer to Unit Descriptor.</w:t>
      </w:r>
    </w:p>
    <w:p w:rsidR="00000000" w:rsidRPr="00F017A7" w:rsidP="00F017A7">
      <w:pPr>
        <w:pStyle w:val="AllowPageBreak"/>
      </w:pPr>
    </w:p>
    <w:p w:rsidR="00000000" w:rsidRPr="00F017A7" w:rsidP="00F017A7">
      <w:pPr>
        <w:pStyle w:val="Heading1"/>
      </w:pPr>
      <w:bookmarkStart w:id="5" w:name="O_134575"/>
      <w:bookmarkEnd w:id="5"/>
      <w:r w:rsidRPr="00F017A7">
        <w:t>Pre-Requisites</w:t>
      </w:r>
    </w:p>
    <w:p w:rsidR="00000000" w:rsidRPr="00F017A7" w:rsidP="00F017A7">
      <w:pPr>
        <w:pStyle w:val="BodyText"/>
      </w:pPr>
      <w:r w:rsidRPr="00F017A7">
        <w:t>Not applicable.</w:t>
      </w:r>
    </w:p>
    <w:p w:rsidR="00000000" w:rsidRPr="00F017A7" w:rsidP="00F017A7">
      <w:pPr>
        <w:pStyle w:val="AllowPageBreak"/>
      </w:pPr>
    </w:p>
    <w:p w:rsidR="00000000" w:rsidRPr="00F017A7" w:rsidP="00F017A7">
      <w:pPr>
        <w:pStyle w:val="Heading1"/>
      </w:pPr>
      <w:bookmarkStart w:id="6" w:name="O_134576"/>
      <w:bookmarkEnd w:id="6"/>
      <w:r w:rsidRPr="00F017A7">
        <w:t>Employability Skills Information</w:t>
      </w:r>
    </w:p>
    <w:p w:rsidR="00000000" w:rsidRPr="00F017A7" w:rsidP="00F017A7">
      <w:pPr>
        <w:pStyle w:val="BodyText"/>
      </w:pPr>
      <w:r w:rsidRPr="00F017A7">
        <w:t>This unit contains employability skills.</w:t>
      </w:r>
    </w:p>
    <w:p w:rsidR="00000000" w:rsidRPr="00F017A7" w:rsidP="00F017A7">
      <w:pPr>
        <w:pStyle w:val="AllowPageBreak"/>
      </w:pPr>
    </w:p>
    <w:p w:rsidR="00000000" w:rsidRPr="00F017A7" w:rsidP="00F017A7">
      <w:pPr>
        <w:pStyle w:val="Heading1"/>
      </w:pPr>
      <w:bookmarkStart w:id="7" w:name="O_134577"/>
      <w:bookmarkEnd w:id="7"/>
      <w:r w:rsidRPr="00F017A7">
        <w:t>Elements and Performance Criteria Pre-Content</w:t>
      </w:r>
    </w:p>
    <w:tbl>
      <w:tblPr>
        <w:tblW w:w="0" w:type="auto"/>
        <w:tblLayout w:type="fixed"/>
        <w:tblCellMar>
          <w:left w:w="62" w:type="dxa"/>
          <w:right w:w="62" w:type="dxa"/>
        </w:tblCellMar>
        <w:tblLook w:val="0000"/>
      </w:tblPr>
      <w:tblGrid>
        <w:gridCol w:w="2555"/>
        <w:gridCol w:w="5967"/>
      </w:tblGrid>
      <w:tr w:rsidTr="00EC516F">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BodyText"/>
            </w:pPr>
            <w:r w:rsidRPr="00F017A7">
              <w:t>Performance criteria describe the performance needed to demonstrate achievement of the element. Where bold italicised text is used, further information is detailed in the required skills and</w:t>
            </w:r>
            <w:r w:rsidRPr="00F017A7">
              <w:t xml:space="preserve"> knowledge section and the range statement. Assessment of performance is to be consistent with the evidence guide.</w:t>
            </w:r>
          </w:p>
        </w:tc>
      </w:tr>
    </w:tbl>
    <w:p w:rsidR="00000000" w:rsidRPr="00F017A7" w:rsidP="00F017A7">
      <w:pPr>
        <w:pStyle w:val="BodyText"/>
      </w:pPr>
    </w:p>
    <w:p w:rsidR="00000000" w:rsidRPr="00F017A7" w:rsidP="00F017A7">
      <w:pPr>
        <w:pStyle w:val="AllowPageBreak"/>
      </w:pPr>
    </w:p>
    <w:p w:rsidR="00000000" w:rsidRPr="00F017A7" w:rsidP="00F017A7">
      <w:pPr>
        <w:pStyle w:val="Heading1"/>
      </w:pPr>
      <w:bookmarkStart w:id="8" w:name="O_134578"/>
      <w:bookmarkEnd w:id="8"/>
      <w:r w:rsidRPr="00F017A7">
        <w:t>Elements and Performance Criteria</w:t>
      </w:r>
    </w:p>
    <w:tbl>
      <w:tblPr>
        <w:tblW w:w="0" w:type="auto"/>
        <w:tblLayout w:type="fixed"/>
        <w:tblCellMar>
          <w:left w:w="62" w:type="dxa"/>
          <w:right w:w="62" w:type="dxa"/>
        </w:tblCellMar>
        <w:tblLook w:val="0000"/>
      </w:tblPr>
      <w:tblGrid>
        <w:gridCol w:w="3471"/>
        <w:gridCol w:w="5051"/>
      </w:tblGrid>
      <w:tr w:rsidTr="00EC51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BodyText"/>
            </w:pPr>
            <w:r w:rsidRPr="00F017A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PERFORMANCE CRITERIA</w:t>
            </w:r>
          </w:p>
        </w:tc>
      </w:tr>
      <w:tr w:rsidTr="00EC51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List"/>
              <w:rPr>
                <w:lang w:val="en-NZ"/>
              </w:rPr>
            </w:pPr>
            <w:r w:rsidRPr="00F017A7">
              <w:t>1.</w:t>
            </w:r>
            <w:r w:rsidRPr="00F017A7">
              <w:tab/>
              <w:t>Prepare for sampling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2"/>
            </w:pPr>
            <w:r w:rsidRPr="00F017A7">
              <w:t>1.1.</w:t>
            </w:r>
            <w:r w:rsidRPr="00F017A7">
              <w:tab/>
              <w:t xml:space="preserve">Access, interpret and apply </w:t>
            </w:r>
            <w:r w:rsidRPr="00F017A7">
              <w:rPr>
                <w:rStyle w:val="BoldandItalics"/>
              </w:rPr>
              <w:t>compliance documentation</w:t>
            </w:r>
            <w:r w:rsidRPr="00F017A7">
              <w:t xml:space="preserve"> relevant to the collection of routine site samples</w:t>
            </w:r>
          </w:p>
          <w:p w:rsidR="00000000" w:rsidRPr="00F017A7" w:rsidP="00F017A7">
            <w:pPr>
              <w:pStyle w:val="List2"/>
            </w:pPr>
            <w:r w:rsidRPr="00F017A7">
              <w:t>1.2.</w:t>
            </w:r>
            <w:r w:rsidRPr="00F017A7">
              <w:tab/>
              <w:t xml:space="preserve">Confirm the purpose, priority and scope of the </w:t>
            </w:r>
            <w:r w:rsidRPr="00F017A7">
              <w:rPr>
                <w:rStyle w:val="BoldandItalics"/>
              </w:rPr>
              <w:t>sample</w:t>
            </w:r>
            <w:r w:rsidRPr="00F017A7">
              <w:t xml:space="preserve"> request or plan</w:t>
            </w:r>
          </w:p>
          <w:p w:rsidR="00000000" w:rsidRPr="00F017A7" w:rsidP="00F017A7">
            <w:pPr>
              <w:pStyle w:val="List2"/>
            </w:pPr>
            <w:r w:rsidRPr="00F017A7">
              <w:t>1.3.</w:t>
            </w:r>
            <w:r w:rsidRPr="00F017A7">
              <w:tab/>
              <w:t>Liaise with relevant personnel to arrange site access and all necessary clearances/permits</w:t>
            </w:r>
          </w:p>
          <w:p w:rsidR="00000000" w:rsidRPr="00F017A7" w:rsidP="00F017A7">
            <w:pPr>
              <w:pStyle w:val="List2"/>
            </w:pPr>
            <w:r w:rsidRPr="00F017A7">
              <w:t>1.4.</w:t>
            </w:r>
            <w:r w:rsidRPr="00F017A7">
              <w:tab/>
              <w:t>Iden</w:t>
            </w:r>
            <w:r w:rsidRPr="00F017A7">
              <w:t xml:space="preserve">tify </w:t>
            </w:r>
            <w:r w:rsidRPr="00F017A7">
              <w:rPr>
                <w:rStyle w:val="BoldandItalics"/>
              </w:rPr>
              <w:t>site hazards</w:t>
            </w:r>
            <w:r w:rsidRPr="00F017A7">
              <w:t xml:space="preserve"> and review enterprise </w:t>
            </w:r>
            <w:r w:rsidRPr="00F017A7">
              <w:rPr>
                <w:rStyle w:val="BoldandItalics"/>
              </w:rPr>
              <w:t>safety procedures</w:t>
            </w:r>
          </w:p>
          <w:p w:rsidR="00000000" w:rsidRPr="00F017A7" w:rsidP="00F017A7">
            <w:pPr>
              <w:pStyle w:val="List2"/>
            </w:pPr>
            <w:r w:rsidRPr="00F017A7">
              <w:t>1.5.</w:t>
            </w:r>
            <w:r w:rsidRPr="00F017A7">
              <w:tab/>
              <w:t xml:space="preserve">Use and document procedures to ensure </w:t>
            </w:r>
            <w:r w:rsidRPr="00F017A7">
              <w:rPr>
                <w:rStyle w:val="BoldandItalics"/>
              </w:rPr>
              <w:t>representative sampling</w:t>
            </w:r>
          </w:p>
          <w:p w:rsidR="00000000" w:rsidRPr="00F017A7" w:rsidP="00F017A7">
            <w:pPr>
              <w:pStyle w:val="List2"/>
            </w:pPr>
            <w:r w:rsidRPr="00F017A7">
              <w:t>1.6.</w:t>
            </w:r>
            <w:r w:rsidRPr="00F017A7">
              <w:tab/>
              <w:t xml:space="preserve">Confirm quantity, location, frequency or time of sampling and  </w:t>
            </w:r>
            <w:r w:rsidRPr="00F017A7">
              <w:rPr>
                <w:rStyle w:val="BoldandItalics"/>
              </w:rPr>
              <w:t>types of samples</w:t>
            </w:r>
            <w:r w:rsidRPr="00F017A7">
              <w:t xml:space="preserve"> to be collected</w:t>
            </w:r>
          </w:p>
          <w:p w:rsidR="00000000" w:rsidP="00F017A7">
            <w:pPr>
              <w:pStyle w:val="List2"/>
              <w:rPr>
                <w:lang w:val="en-NZ"/>
              </w:rPr>
            </w:pPr>
            <w:r w:rsidRPr="00F017A7">
              <w:t>1.7.</w:t>
            </w:r>
            <w:r w:rsidRPr="00F017A7">
              <w:tab/>
              <w:t xml:space="preserve">Assemble required </w:t>
            </w:r>
            <w:r w:rsidRPr="00F017A7">
              <w:rPr>
                <w:rStyle w:val="BoldandItalics"/>
              </w:rPr>
              <w:t>sampling tools and equipment</w:t>
            </w:r>
          </w:p>
        </w:tc>
      </w:tr>
      <w:tr w:rsidTr="00EC51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List"/>
              <w:rPr>
                <w:lang w:val="en-NZ"/>
              </w:rPr>
            </w:pPr>
            <w:r w:rsidRPr="00F017A7">
              <w:t>2.</w:t>
            </w:r>
            <w:r w:rsidRPr="00F017A7">
              <w:tab/>
              <w:t>Conduct sample collection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2"/>
            </w:pPr>
            <w:r w:rsidRPr="00F017A7">
              <w:t>2.1.</w:t>
            </w:r>
            <w:r w:rsidRPr="00F017A7">
              <w:tab/>
              <w:t>Collect samples as specified in sample request or plan</w:t>
            </w:r>
          </w:p>
          <w:p w:rsidR="00000000" w:rsidRPr="00F017A7" w:rsidP="00F017A7">
            <w:pPr>
              <w:pStyle w:val="List2"/>
            </w:pPr>
            <w:r w:rsidRPr="00F017A7">
              <w:t>2.2.</w:t>
            </w:r>
            <w:r w:rsidRPr="00F017A7">
              <w:tab/>
              <w:t>Preserve sample integrity throughout collection</w:t>
            </w:r>
          </w:p>
          <w:p w:rsidR="00000000" w:rsidRPr="00F017A7" w:rsidP="00F017A7">
            <w:pPr>
              <w:pStyle w:val="List2"/>
            </w:pPr>
            <w:r w:rsidRPr="00F017A7">
              <w:t>2.3.</w:t>
            </w:r>
            <w:r w:rsidRPr="00F017A7">
              <w:tab/>
              <w:t>Place samples in suitable containers and label accurately</w:t>
            </w:r>
          </w:p>
          <w:p w:rsidR="00000000" w:rsidRPr="00F017A7" w:rsidP="00F017A7">
            <w:pPr>
              <w:pStyle w:val="List2"/>
            </w:pPr>
            <w:r w:rsidRPr="00F017A7">
              <w:t>2.4.</w:t>
            </w:r>
            <w:r w:rsidRPr="00F017A7">
              <w:tab/>
              <w:t>Store and transp</w:t>
            </w:r>
            <w:r w:rsidRPr="00F017A7">
              <w:t>ort samples</w:t>
            </w:r>
          </w:p>
          <w:p w:rsidR="00000000" w:rsidRPr="00F017A7" w:rsidP="00F017A7">
            <w:pPr>
              <w:pStyle w:val="List2"/>
            </w:pPr>
            <w:r w:rsidRPr="00F017A7">
              <w:t>2.5.</w:t>
            </w:r>
            <w:r w:rsidRPr="00F017A7">
              <w:tab/>
              <w:t>Identify and record characteristics of sampling environment, in particular any non-standard aspects</w:t>
            </w:r>
          </w:p>
          <w:p w:rsidR="00000000" w:rsidP="00F017A7">
            <w:pPr>
              <w:pStyle w:val="List2"/>
              <w:rPr>
                <w:lang w:val="en-NZ"/>
              </w:rPr>
            </w:pPr>
            <w:r w:rsidRPr="00F017A7">
              <w:t>2.6.</w:t>
            </w:r>
            <w:r w:rsidRPr="00F017A7">
              <w:tab/>
              <w:t>Maintain sampling equipment in a clean and safe working condition</w:t>
            </w:r>
          </w:p>
        </w:tc>
      </w:tr>
      <w:tr w:rsidTr="00EC51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List"/>
              <w:rPr>
                <w:lang w:val="en-NZ"/>
              </w:rPr>
            </w:pPr>
            <w:r w:rsidRPr="00F017A7">
              <w:t>3.</w:t>
            </w:r>
            <w:r w:rsidRPr="00F017A7">
              <w:tab/>
              <w:t>Prepare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2"/>
            </w:pPr>
            <w:r w:rsidRPr="00F017A7">
              <w:t>3.1.</w:t>
            </w:r>
            <w:r w:rsidRPr="00F017A7">
              <w:tab/>
              <w:t>Verify sample, check documentation and requ</w:t>
            </w:r>
            <w:r w:rsidRPr="00F017A7">
              <w:t>ired equipment for preparation</w:t>
            </w:r>
          </w:p>
          <w:p w:rsidR="00000000" w:rsidRPr="00F017A7" w:rsidP="00F017A7">
            <w:pPr>
              <w:pStyle w:val="List2"/>
            </w:pPr>
            <w:r w:rsidRPr="00F017A7">
              <w:t>3.2.</w:t>
            </w:r>
            <w:r w:rsidRPr="00F017A7">
              <w:tab/>
              <w:t xml:space="preserve">Perform </w:t>
            </w:r>
            <w:r w:rsidRPr="00F017A7">
              <w:rPr>
                <w:rStyle w:val="BoldandItalics"/>
              </w:rPr>
              <w:t>sample preparation</w:t>
            </w:r>
            <w:r w:rsidRPr="00F017A7">
              <w:t xml:space="preserve"> according to plan using recommended procedures</w:t>
            </w:r>
          </w:p>
          <w:p w:rsidR="00000000" w:rsidRPr="00F017A7" w:rsidP="00F017A7">
            <w:pPr>
              <w:pStyle w:val="List2"/>
            </w:pPr>
            <w:r w:rsidRPr="00F017A7">
              <w:t>3.3.</w:t>
            </w:r>
            <w:r w:rsidRPr="00F017A7">
              <w:tab/>
              <w:t>Contain loss of material and protect sample against contamination</w:t>
            </w:r>
          </w:p>
          <w:p w:rsidR="00000000" w:rsidRPr="00F017A7" w:rsidP="00F017A7">
            <w:pPr>
              <w:pStyle w:val="List2"/>
            </w:pPr>
            <w:r w:rsidRPr="00F017A7">
              <w:t>3.4.</w:t>
            </w:r>
            <w:r w:rsidRPr="00F017A7">
              <w:tab/>
              <w:t>Recover and clean samples using techniques and equipment specified for</w:t>
            </w:r>
            <w:r w:rsidRPr="00F017A7">
              <w:t xml:space="preserve"> the particular sample</w:t>
            </w:r>
          </w:p>
          <w:p w:rsidR="00000000" w:rsidP="00F017A7">
            <w:pPr>
              <w:pStyle w:val="List2"/>
              <w:rPr>
                <w:lang w:val="en-NZ"/>
              </w:rPr>
            </w:pPr>
            <w:r w:rsidRPr="00F017A7">
              <w:t>3.5.</w:t>
            </w:r>
            <w:r w:rsidRPr="00F017A7">
              <w:tab/>
              <w:t>Store or dispose of residues and samples following OHS and environmental guidelines</w:t>
            </w:r>
          </w:p>
        </w:tc>
      </w:tr>
      <w:tr w:rsidTr="00EC51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List"/>
              <w:rPr>
                <w:lang w:val="en-NZ"/>
              </w:rPr>
            </w:pPr>
            <w:r w:rsidRPr="00F017A7">
              <w:t>4.</w:t>
            </w:r>
            <w:r w:rsidRPr="00F017A7">
              <w:tab/>
              <w:t>Prepare samples for dispatch</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2"/>
            </w:pPr>
            <w:r w:rsidRPr="00F017A7">
              <w:t>4.1.</w:t>
            </w:r>
            <w:r w:rsidRPr="00F017A7">
              <w:tab/>
              <w:t xml:space="preserve">Label, store and transport core samples to </w:t>
            </w:r>
            <w:r w:rsidRPr="00F017A7">
              <w:rPr>
                <w:rStyle w:val="BoldandItalics"/>
              </w:rPr>
              <w:t>maintain integrity of sample</w:t>
            </w:r>
          </w:p>
          <w:p w:rsidR="00000000" w:rsidRPr="00F017A7" w:rsidP="00F017A7">
            <w:pPr>
              <w:pStyle w:val="List2"/>
            </w:pPr>
            <w:r w:rsidRPr="00F017A7">
              <w:t>4.2.</w:t>
            </w:r>
            <w:r w:rsidRPr="00F017A7">
              <w:tab/>
            </w:r>
            <w:r w:rsidRPr="00F017A7">
              <w:t>Use appropriate reference materials, standards and controls</w:t>
            </w:r>
          </w:p>
          <w:p w:rsidR="00000000" w:rsidRPr="00F017A7" w:rsidP="00F017A7">
            <w:pPr>
              <w:pStyle w:val="List2"/>
            </w:pPr>
            <w:r w:rsidRPr="00F017A7">
              <w:t>4.3.</w:t>
            </w:r>
            <w:r w:rsidRPr="00F017A7">
              <w:tab/>
              <w:t>Contain loss of material and protect sample against contamination</w:t>
            </w:r>
          </w:p>
          <w:p w:rsidR="00000000" w:rsidRPr="00F017A7" w:rsidP="00F017A7">
            <w:pPr>
              <w:pStyle w:val="List2"/>
            </w:pPr>
            <w:r w:rsidRPr="00F017A7">
              <w:t>4.4.</w:t>
            </w:r>
            <w:r w:rsidRPr="00F017A7">
              <w:tab/>
              <w:t>Document any change to preparation methods</w:t>
            </w:r>
          </w:p>
          <w:p w:rsidR="00000000" w:rsidRPr="00F017A7" w:rsidP="00F017A7">
            <w:pPr>
              <w:pStyle w:val="List2"/>
            </w:pPr>
            <w:r w:rsidRPr="00F017A7">
              <w:t>4.5.</w:t>
            </w:r>
            <w:r w:rsidRPr="00F017A7">
              <w:tab/>
              <w:t>Forward samples for analysis to external laboratories</w:t>
            </w:r>
          </w:p>
          <w:p w:rsidR="00000000" w:rsidP="00F017A7">
            <w:pPr>
              <w:pStyle w:val="List2"/>
              <w:rPr>
                <w:lang w:val="en-NZ"/>
              </w:rPr>
            </w:pPr>
            <w:r w:rsidRPr="00F017A7">
              <w:t>4.6.</w:t>
            </w:r>
            <w:r w:rsidRPr="00F017A7">
              <w:tab/>
              <w:t>Store, test a</w:t>
            </w:r>
            <w:r w:rsidRPr="00F017A7">
              <w:t>nd dispose of samples</w:t>
            </w:r>
          </w:p>
        </w:tc>
      </w:tr>
      <w:tr w:rsidTr="00EC51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List"/>
              <w:rPr>
                <w:lang w:val="en-NZ"/>
              </w:rPr>
            </w:pPr>
            <w:r w:rsidRPr="00F017A7">
              <w:t>5.</w:t>
            </w:r>
            <w:r w:rsidRPr="00F017A7">
              <w:tab/>
              <w:t>Maintain a safe work environment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2"/>
            </w:pPr>
            <w:r w:rsidRPr="00F017A7">
              <w:t>5.1.</w:t>
            </w:r>
            <w:r w:rsidRPr="00F017A7">
              <w:tab/>
              <w:t>Use established work practices and personal protective equipment to ensure personal safety and that of others</w:t>
            </w:r>
          </w:p>
          <w:p w:rsidR="00000000" w:rsidRPr="00F017A7" w:rsidP="00F017A7">
            <w:pPr>
              <w:pStyle w:val="List2"/>
            </w:pPr>
            <w:r w:rsidRPr="00F017A7">
              <w:t>5.2.</w:t>
            </w:r>
            <w:r w:rsidRPr="00F017A7">
              <w:tab/>
            </w:r>
            <w:r w:rsidRPr="00F017A7">
              <w:rPr>
                <w:rStyle w:val="BoldandItalics"/>
              </w:rPr>
              <w:t>Minimise environmental impacts</w:t>
            </w:r>
            <w:r w:rsidRPr="00F017A7">
              <w:t xml:space="preserve"> of sampling and generation of waste</w:t>
            </w:r>
          </w:p>
          <w:p w:rsidR="00000000" w:rsidRPr="00F017A7" w:rsidP="00F017A7">
            <w:pPr>
              <w:pStyle w:val="List2"/>
            </w:pPr>
            <w:r w:rsidRPr="00F017A7">
              <w:t>5.3.</w:t>
            </w:r>
            <w:r w:rsidRPr="00F017A7">
              <w:tab/>
              <w:t>Dispo</w:t>
            </w:r>
            <w:r w:rsidRPr="00F017A7">
              <w:t>se of all waste in accordance with enterprise procedures</w:t>
            </w:r>
          </w:p>
        </w:tc>
      </w:tr>
    </w:tbl>
    <w:p w:rsidR="00000000" w:rsidRPr="00F017A7" w:rsidP="00F017A7">
      <w:pPr>
        <w:pStyle w:val="BodyText"/>
      </w:pPr>
    </w:p>
    <w:p w:rsidR="00000000" w:rsidRPr="00F017A7" w:rsidP="00F017A7">
      <w:pPr>
        <w:pStyle w:val="AllowPageBreak"/>
      </w:pPr>
    </w:p>
    <w:p w:rsidR="00000000" w:rsidRPr="00F017A7" w:rsidP="00F017A7">
      <w:pPr>
        <w:pStyle w:val="Heading1"/>
      </w:pPr>
      <w:bookmarkStart w:id="9" w:name="O_134579"/>
      <w:bookmarkEnd w:id="9"/>
      <w:r w:rsidRPr="00F017A7">
        <w:t>Required Skills and Knowledge</w:t>
      </w:r>
    </w:p>
    <w:tbl>
      <w:tblPr>
        <w:tblW w:w="0" w:type="auto"/>
        <w:tblLayout w:type="fixed"/>
        <w:tblCellMar>
          <w:left w:w="62" w:type="dxa"/>
          <w:right w:w="62" w:type="dxa"/>
        </w:tblCellMar>
        <w:tblLook w:val="0000"/>
      </w:tblPr>
      <w:tblGrid>
        <w:gridCol w:w="8522"/>
      </w:tblGrid>
      <w:tr w:rsidTr="00EC51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t>This section describes the skills and knowledge required for this unit.</w:t>
            </w:r>
          </w:p>
        </w:tc>
      </w:tr>
      <w:tr w:rsidTr="00EC51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Required skills</w:t>
            </w:r>
          </w:p>
        </w:tc>
      </w:tr>
      <w:tr w:rsidTr="00EC51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BodyText"/>
            </w:pPr>
            <w:r w:rsidRPr="00F017A7">
              <w:t>Specific skills are required to achieve the performance criteria in this unit, particularly for the application in the various circumstances in which this unit may be applied. This includes the ability to carry out the following as required to collect rout</w:t>
            </w:r>
            <w:r w:rsidRPr="00F017A7">
              <w:t>ine site samples:</w:t>
            </w:r>
          </w:p>
          <w:p w:rsidR="00000000" w:rsidRPr="00F017A7" w:rsidP="00F017A7">
            <w:pPr>
              <w:pStyle w:val="ListBullet"/>
            </w:pPr>
            <w:r w:rsidRPr="00F017A7">
              <w:t>apply legislative, organisation and site requirements and procedures</w:t>
            </w:r>
          </w:p>
          <w:p w:rsidR="00000000" w:rsidRPr="00F017A7" w:rsidP="00F017A7">
            <w:pPr>
              <w:pStyle w:val="ListBullet"/>
            </w:pPr>
            <w:r w:rsidRPr="00F017A7">
              <w:t>apply established work practices</w:t>
            </w:r>
          </w:p>
          <w:p w:rsidR="00000000" w:rsidRPr="00F017A7" w:rsidP="00F017A7">
            <w:pPr>
              <w:pStyle w:val="ListBullet"/>
            </w:pPr>
            <w:r w:rsidRPr="00F017A7">
              <w:t xml:space="preserve">wear personal protective equipment </w:t>
            </w:r>
          </w:p>
          <w:p w:rsidR="00000000" w:rsidRPr="00F017A7" w:rsidP="00F017A7">
            <w:pPr>
              <w:pStyle w:val="ListBullet"/>
            </w:pPr>
            <w:r w:rsidRPr="00F017A7">
              <w:t>apply plan, report, map, specification interpretation skills</w:t>
            </w:r>
          </w:p>
          <w:p w:rsidR="00000000" w:rsidRPr="00F017A7" w:rsidP="00F017A7">
            <w:pPr>
              <w:pStyle w:val="ListBullet"/>
            </w:pPr>
            <w:r w:rsidRPr="00F017A7">
              <w:t>apply record maintenance and operation</w:t>
            </w:r>
            <w:r w:rsidRPr="00F017A7">
              <w:t>s monitoring procedures</w:t>
            </w:r>
          </w:p>
          <w:p w:rsidR="00000000" w:rsidP="00F017A7">
            <w:pPr>
              <w:pStyle w:val="ListBullet"/>
              <w:rPr>
                <w:lang w:val="en-NZ"/>
              </w:rPr>
            </w:pPr>
            <w:r w:rsidRPr="00F017A7">
              <w:t>apply worksite communication procedures</w:t>
            </w:r>
          </w:p>
        </w:tc>
      </w:tr>
      <w:tr w:rsidTr="00EC51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Required knowledge</w:t>
            </w:r>
          </w:p>
        </w:tc>
      </w:tr>
      <w:tr w:rsidTr="00EC51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BodyText"/>
            </w:pPr>
            <w:r w:rsidRPr="00F017A7">
              <w:t xml:space="preserve">Specific knowledge is required to achieve the Performance Criteria of this unit, particularly its application in a variety of circumstances in which the unit may be used. </w:t>
            </w:r>
            <w:r w:rsidRPr="00F017A7">
              <w:t>This includes knowledge of the following, as required to collect routine site samples:</w:t>
            </w:r>
          </w:p>
          <w:p w:rsidR="00000000" w:rsidRPr="00F017A7" w:rsidP="00F017A7">
            <w:pPr>
              <w:pStyle w:val="ListBullet"/>
            </w:pPr>
            <w:r w:rsidRPr="00F017A7">
              <w:t>key terminology and concepts, such as: sample, contamination, traceability, integrity, chain of custody</w:t>
            </w:r>
          </w:p>
          <w:p w:rsidR="00000000" w:rsidRPr="00F017A7" w:rsidP="00F017A7">
            <w:pPr>
              <w:pStyle w:val="ListBullet"/>
            </w:pPr>
            <w:r w:rsidRPr="00F017A7">
              <w:t>purpose for which the samples have been collected</w:t>
            </w:r>
          </w:p>
          <w:p w:rsidR="00000000" w:rsidRPr="00F017A7" w:rsidP="00F017A7">
            <w:pPr>
              <w:pStyle w:val="ListBullet"/>
            </w:pPr>
            <w:r w:rsidRPr="00F017A7">
              <w:t>the function of key sampling equipment/materials and principles of operation</w:t>
            </w:r>
          </w:p>
          <w:p w:rsidR="00000000" w:rsidRPr="00F017A7" w:rsidP="00F017A7">
            <w:pPr>
              <w:pStyle w:val="ListBullet"/>
            </w:pPr>
            <w:r w:rsidRPr="00F017A7">
              <w:t>hazards, risks and enterprise safety procedures associated with routine sampling is undertaken</w:t>
            </w:r>
          </w:p>
          <w:p w:rsidR="00000000" w:rsidRPr="00F017A7" w:rsidP="00F017A7">
            <w:pPr>
              <w:pStyle w:val="ListBullet"/>
            </w:pPr>
            <w:r w:rsidRPr="00F017A7">
              <w:t>enterprise procedures dealing with:</w:t>
            </w:r>
          </w:p>
          <w:p w:rsidR="00000000" w:rsidRPr="00F017A7" w:rsidP="00F017A7">
            <w:pPr>
              <w:pStyle w:val="ListBullet2"/>
            </w:pPr>
            <w:r w:rsidRPr="00F017A7">
              <w:t>sampling</w:t>
            </w:r>
          </w:p>
          <w:p w:rsidR="00000000" w:rsidRPr="00F017A7" w:rsidP="00F017A7">
            <w:pPr>
              <w:pStyle w:val="ListBullet2"/>
            </w:pPr>
            <w:r w:rsidRPr="00F017A7">
              <w:t>waste management, clean up and spillag</w:t>
            </w:r>
            <w:r w:rsidRPr="00F017A7">
              <w:t>e</w:t>
            </w:r>
          </w:p>
          <w:p w:rsidR="00000000" w:rsidRPr="00F017A7" w:rsidP="00F017A7">
            <w:pPr>
              <w:pStyle w:val="ListBullet2"/>
            </w:pPr>
            <w:r w:rsidRPr="00F017A7">
              <w:t>handling, transport and storage of dangerous goods</w:t>
            </w:r>
          </w:p>
          <w:p w:rsidR="00000000" w:rsidRPr="00F017A7" w:rsidP="00F017A7">
            <w:pPr>
              <w:pStyle w:val="ListBullet"/>
            </w:pPr>
            <w:r w:rsidRPr="00F017A7">
              <w:t>health, safety and environment requirements</w:t>
            </w:r>
          </w:p>
        </w:tc>
      </w:tr>
    </w:tbl>
    <w:p w:rsidR="00000000" w:rsidRPr="00F017A7" w:rsidP="00F017A7">
      <w:pPr>
        <w:pStyle w:val="BodyText"/>
      </w:pPr>
    </w:p>
    <w:p w:rsidR="00000000" w:rsidRPr="00F017A7" w:rsidP="00F017A7">
      <w:pPr>
        <w:pStyle w:val="AllowPageBreak"/>
      </w:pPr>
    </w:p>
    <w:p w:rsidR="00000000" w:rsidRPr="00F017A7" w:rsidP="00F017A7">
      <w:pPr>
        <w:pStyle w:val="Heading1"/>
      </w:pPr>
      <w:bookmarkStart w:id="10" w:name="O_134580"/>
      <w:bookmarkEnd w:id="10"/>
      <w:r w:rsidRPr="00F017A7">
        <w:t>Evidence Guide</w:t>
      </w:r>
    </w:p>
    <w:tbl>
      <w:tblPr>
        <w:tblW w:w="0" w:type="auto"/>
        <w:tblLayout w:type="fixed"/>
        <w:tblCellMar>
          <w:left w:w="62" w:type="dxa"/>
          <w:right w:w="62" w:type="dxa"/>
        </w:tblCellMar>
        <w:tblLook w:val="0000"/>
      </w:tblPr>
      <w:tblGrid>
        <w:gridCol w:w="3448"/>
        <w:gridCol w:w="5074"/>
      </w:tblGrid>
      <w:tr w:rsidTr="00EC51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t>The evidence guide provides advice on assessment and must be read in conjunction with the performance criteria, required skills and knowledge, range statement and the Assessment Guidelines for the Training Package.</w:t>
            </w:r>
          </w:p>
        </w:tc>
      </w:tr>
      <w:tr w:rsidTr="00EC51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p>
        </w:tc>
      </w:tr>
      <w:tr w:rsidTr="00EC51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Critical aspec</w:t>
            </w:r>
            <w:r w:rsidRPr="00F017A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BodyText"/>
            </w:pPr>
            <w:r w:rsidRPr="00F017A7">
              <w:t xml:space="preserve">The evidence required to demonstrate competency in this unit must be relevant to worksite operations and satisfy all of the requirements of </w:t>
            </w:r>
            <w:r w:rsidRPr="00F017A7">
              <w:t>the performance criteria, required skills and knowledge and the range statement of this unit and include evidence of the following:</w:t>
            </w:r>
          </w:p>
          <w:p w:rsidR="00000000" w:rsidRPr="00F017A7" w:rsidP="00F017A7">
            <w:pPr>
              <w:pStyle w:val="ListBullet"/>
            </w:pPr>
            <w:r w:rsidRPr="00F017A7">
              <w:t>knowledge of the requirements, procedures and instructions for the collection of routine site samples</w:t>
            </w:r>
          </w:p>
          <w:p w:rsidR="00000000" w:rsidRPr="00F017A7" w:rsidP="00F017A7">
            <w:pPr>
              <w:pStyle w:val="ListBullet"/>
            </w:pPr>
            <w:r w:rsidRPr="00F017A7">
              <w:t>implementation of req</w:t>
            </w:r>
            <w:r w:rsidRPr="00F017A7">
              <w:t xml:space="preserve">uirements, procedures and techniques for the safe, effective and efficient collection of routine site samples </w:t>
            </w:r>
          </w:p>
          <w:p w:rsidR="00000000" w:rsidRPr="00F017A7" w:rsidP="00F017A7">
            <w:pPr>
              <w:pStyle w:val="ListBullet"/>
            </w:pPr>
            <w:r w:rsidRPr="00F017A7">
              <w:t>working with others to undertake and complete the collection of routine site samples that meets all of the required outcomes</w:t>
            </w:r>
          </w:p>
          <w:p w:rsidR="00000000" w:rsidP="00F017A7">
            <w:pPr>
              <w:pStyle w:val="ListBullet"/>
              <w:rPr>
                <w:lang w:val="en-NZ"/>
              </w:rPr>
            </w:pPr>
            <w:r w:rsidRPr="00F017A7">
              <w:t>consistent timely co</w:t>
            </w:r>
            <w:r w:rsidRPr="00F017A7">
              <w:t>mpletion of the collection of routine site samples that safely, effectively and efficiently meets the required outcomes</w:t>
            </w:r>
          </w:p>
        </w:tc>
      </w:tr>
      <w:tr w:rsidTr="00EC51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This unit must be assessed in the context of the work environment. Where personal saf</w:t>
            </w:r>
            <w:r w:rsidRPr="00F017A7">
              <w:t>ety or environmental damage are limiting factors, assessment may occur in a simulated environment provided it is realistic and sufficiently rigorous to cover all aspects of workplace performance, including task skills, task management skills, contingency m</w:t>
            </w:r>
            <w:r w:rsidRPr="00F017A7">
              <w:t xml:space="preserve">anagement skills and job role environment skills. </w:t>
            </w:r>
          </w:p>
          <w:p w:rsidR="00000000" w:rsidRPr="00F017A7" w:rsidP="00F017A7">
            <w:pPr>
              <w:pStyle w:val="ListBullet"/>
            </w:pPr>
            <w:r w:rsidRPr="00F017A7">
              <w:t xml:space="preserve">The assessment environment should not disadvantage the participant. For example, language, literacy and numeracy demands of assessment should not be greater than those required on the job. </w:t>
            </w:r>
          </w:p>
          <w:p w:rsidR="00000000" w:rsidRPr="00F017A7" w:rsidP="00F017A7">
            <w:pPr>
              <w:pStyle w:val="ListBullet"/>
            </w:pPr>
            <w:r w:rsidRPr="00F017A7">
              <w:t>Customisation o</w:t>
            </w:r>
            <w:r w:rsidRPr="00F017A7">
              <w:t>f assessment and delivery environment to sensitively accommodate cultural diversity.</w:t>
            </w:r>
          </w:p>
          <w:p w:rsidR="00000000" w:rsidRPr="00F017A7" w:rsidP="00F017A7">
            <w:pPr>
              <w:pStyle w:val="ListBullet"/>
            </w:pPr>
            <w:r w:rsidRPr="00F017A7">
              <w:t>Aboriginal people and other people from a non English speaking background may have second language issues.</w:t>
            </w:r>
          </w:p>
          <w:p w:rsidR="00000000" w:rsidRPr="00F017A7" w:rsidP="00F017A7">
            <w:pPr>
              <w:pStyle w:val="ListBullet"/>
            </w:pPr>
            <w:r w:rsidRPr="00F017A7">
              <w:t>Assessment of this competency requires typical resources normall</w:t>
            </w:r>
            <w:r w:rsidRPr="00F017A7">
              <w:t xml:space="preserve">y used in the work environment. Selection and use of resources for particular worksites may differ due to site circumstances. </w:t>
            </w:r>
          </w:p>
          <w:p w:rsidR="00000000" w:rsidRPr="00F017A7" w:rsidP="00F017A7">
            <w:pPr>
              <w:pStyle w:val="ListBullet"/>
            </w:pPr>
            <w:r w:rsidRPr="00F017A7">
              <w:t xml:space="preserve">Where applicable, physical resources should include equipment modified for people with disabilities. </w:t>
            </w:r>
          </w:p>
          <w:p w:rsidR="00000000" w:rsidP="00F017A7">
            <w:pPr>
              <w:pStyle w:val="ListBullet"/>
              <w:rPr>
                <w:lang w:val="en-NZ"/>
              </w:rPr>
            </w:pPr>
            <w:r w:rsidRPr="00F017A7">
              <w:t xml:space="preserve">Access must be provided to </w:t>
            </w:r>
            <w:r w:rsidRPr="00F017A7">
              <w:t>appropriate learning and/or assessment support when required.</w:t>
            </w:r>
          </w:p>
        </w:tc>
      </w:tr>
      <w:tr w:rsidTr="00EC51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BodyText"/>
            </w:pPr>
            <w:r w:rsidRPr="00F017A7">
              <w:t xml:space="preserve">This unit may be assessed in a holistic way with other units of competency.  The assessment strategy for this unit must verify required knowledge </w:t>
            </w:r>
            <w:r w:rsidRPr="00F017A7">
              <w:t xml:space="preserve">and skill and practical application using more than one of the following assessment methods: </w:t>
            </w:r>
          </w:p>
          <w:p w:rsidR="00000000" w:rsidRPr="00F017A7" w:rsidP="00F017A7">
            <w:pPr>
              <w:pStyle w:val="ListBullet"/>
            </w:pPr>
            <w:r w:rsidRPr="00F017A7">
              <w:t>written and/or oral assessment of the candidate's required knowledge</w:t>
            </w:r>
          </w:p>
          <w:p w:rsidR="00000000" w:rsidRPr="00F017A7" w:rsidP="00F017A7">
            <w:pPr>
              <w:pStyle w:val="ListBullet"/>
            </w:pPr>
            <w:r w:rsidRPr="00F017A7">
              <w:t>observed, documented and/or first hand testimonial evidence of the candidate's:</w:t>
            </w:r>
          </w:p>
          <w:p w:rsidR="00000000" w:rsidRPr="00F017A7" w:rsidP="00F017A7">
            <w:pPr>
              <w:pStyle w:val="ListBullet2"/>
            </w:pPr>
            <w:r w:rsidRPr="00F017A7">
              <w:t>implementat</w:t>
            </w:r>
            <w:r w:rsidRPr="00F017A7">
              <w:t>ion of appropriate requirement, procedures and techniques for the safe, effective and efficient achievement of required outcomes</w:t>
            </w:r>
          </w:p>
          <w:p w:rsidR="00000000" w:rsidRPr="00F017A7" w:rsidP="00F017A7">
            <w:pPr>
              <w:pStyle w:val="ListBullet2"/>
            </w:pPr>
            <w:r w:rsidRPr="00F017A7">
              <w:t>consistently achieving the required outcomes</w:t>
            </w:r>
          </w:p>
          <w:p w:rsidR="00000000" w:rsidRPr="00F017A7" w:rsidP="00F017A7">
            <w:pPr>
              <w:pStyle w:val="ListBullet"/>
            </w:pPr>
            <w:r w:rsidRPr="00F017A7">
              <w:t>first hand testimonial evidence of the candidate's:</w:t>
            </w:r>
          </w:p>
          <w:p w:rsidR="00000000" w:rsidP="00F017A7">
            <w:pPr>
              <w:pStyle w:val="ListBullet2"/>
              <w:rPr>
                <w:lang w:val="en-NZ"/>
              </w:rPr>
            </w:pPr>
            <w:r w:rsidRPr="00F017A7">
              <w:t>working with others to undertake and complete the collection of routine site samples</w:t>
            </w:r>
          </w:p>
        </w:tc>
      </w:tr>
      <w:tr w:rsidTr="00EC51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BodyText"/>
            </w:pPr>
            <w:r w:rsidRPr="00F017A7">
              <w:t>Consult the SkillsDMC User Guide for further information on assessment including access and equity issues.</w:t>
            </w:r>
          </w:p>
        </w:tc>
      </w:tr>
    </w:tbl>
    <w:p w:rsidR="00000000" w:rsidRPr="00F017A7" w:rsidP="00F017A7">
      <w:pPr>
        <w:pStyle w:val="BodyText"/>
      </w:pPr>
    </w:p>
    <w:p w:rsidR="00000000" w:rsidRPr="00F017A7" w:rsidP="00F017A7">
      <w:pPr>
        <w:pStyle w:val="AllowPageBreak"/>
      </w:pPr>
    </w:p>
    <w:p w:rsidR="00000000" w:rsidRPr="00F017A7" w:rsidP="00F017A7">
      <w:pPr>
        <w:pStyle w:val="Heading1"/>
      </w:pPr>
      <w:bookmarkStart w:id="11" w:name="O_134581"/>
      <w:bookmarkEnd w:id="11"/>
      <w:r w:rsidRPr="00F017A7">
        <w:t>Range Statement</w:t>
      </w:r>
    </w:p>
    <w:tbl>
      <w:tblPr>
        <w:tblW w:w="0" w:type="auto"/>
        <w:tblLayout w:type="fixed"/>
        <w:tblCellMar>
          <w:left w:w="62" w:type="dxa"/>
          <w:right w:w="62" w:type="dxa"/>
        </w:tblCellMar>
        <w:tblLook w:val="0000"/>
      </w:tblPr>
      <w:tblGrid>
        <w:gridCol w:w="3507"/>
        <w:gridCol w:w="5015"/>
      </w:tblGrid>
      <w:tr w:rsidTr="00EC51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t>The range statement relates to the unit of competency as a whole. It allows for different work environments and situations that may affect performance. Bold italicised wording, if used in the performance criteria, is detailed below. Essenti</w:t>
            </w:r>
            <w:r w:rsidRPr="00F017A7">
              <w:t>al operating conditions that may be present with training and assessment (depending on the work situation, needs of the candidate, accessibility of the item, and local industry and regional contexts) may also be included.</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Compliance documentation</w:t>
            </w:r>
            <w:r w:rsidRPr="00F017A7">
              <w:t xml:space="preserve"> may inc</w:t>
            </w:r>
            <w:r w:rsidRPr="00F017A7">
              <w:t>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legislative, organisation and site requirements and procedures</w:t>
            </w:r>
          </w:p>
          <w:p w:rsidR="00000000" w:rsidRPr="00F017A7" w:rsidP="00F017A7">
            <w:pPr>
              <w:pStyle w:val="ListBullet"/>
            </w:pPr>
            <w:r w:rsidRPr="00F017A7">
              <w:t>manufacturer's guidelines and specifications</w:t>
            </w:r>
          </w:p>
          <w:p w:rsidR="00000000" w:rsidRPr="00F017A7" w:rsidP="00F017A7">
            <w:pPr>
              <w:pStyle w:val="ListBullet"/>
            </w:pPr>
            <w:r w:rsidRPr="00F017A7">
              <w:t>Australian standards</w:t>
            </w:r>
          </w:p>
          <w:p w:rsidR="00000000" w:rsidRPr="00F017A7" w:rsidP="00F017A7">
            <w:pPr>
              <w:pStyle w:val="ListBullet"/>
            </w:pPr>
            <w:r w:rsidRPr="00F017A7">
              <w:t xml:space="preserve">code of practice </w:t>
            </w:r>
          </w:p>
          <w:p w:rsidR="00000000" w:rsidRPr="00F017A7" w:rsidP="00F017A7">
            <w:pPr>
              <w:pStyle w:val="ListBullet"/>
            </w:pPr>
            <w:r w:rsidRPr="00F017A7">
              <w:t>Employment and workplace relations legislation</w:t>
            </w:r>
          </w:p>
          <w:p w:rsidR="00000000" w:rsidP="00F017A7">
            <w:pPr>
              <w:pStyle w:val="ListBullet"/>
              <w:rPr>
                <w:lang w:val="en-NZ"/>
              </w:rPr>
            </w:pPr>
            <w:r w:rsidRPr="00F017A7">
              <w:t>Equal Employment Opportunity and Disability Discrimination legislation</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Samples</w:t>
            </w:r>
            <w:r w:rsidRPr="00F017A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soils</w:t>
            </w:r>
          </w:p>
          <w:p w:rsidR="00000000" w:rsidRPr="00F017A7" w:rsidP="00F017A7">
            <w:pPr>
              <w:pStyle w:val="ListBullet"/>
            </w:pPr>
            <w:r w:rsidRPr="00F017A7">
              <w:t>rocks</w:t>
            </w:r>
          </w:p>
          <w:p w:rsidR="00000000" w:rsidRPr="00F017A7" w:rsidP="00F017A7">
            <w:pPr>
              <w:pStyle w:val="ListBullet"/>
            </w:pPr>
            <w:r w:rsidRPr="00F017A7">
              <w:t>minerals</w:t>
            </w:r>
          </w:p>
          <w:p w:rsidR="00000000" w:rsidRPr="00F017A7" w:rsidP="00F017A7">
            <w:pPr>
              <w:pStyle w:val="ListBullet"/>
            </w:pPr>
            <w:r w:rsidRPr="00F017A7">
              <w:t>fossils</w:t>
            </w:r>
          </w:p>
          <w:p w:rsidR="00000000" w:rsidRPr="00F017A7" w:rsidP="00F017A7">
            <w:pPr>
              <w:pStyle w:val="ListBullet"/>
            </w:pPr>
            <w:r w:rsidRPr="00F017A7">
              <w:t>hydrocarbons</w:t>
            </w:r>
          </w:p>
          <w:p w:rsidR="00000000" w:rsidRPr="00F017A7" w:rsidP="00F017A7">
            <w:pPr>
              <w:pStyle w:val="ListBullet"/>
            </w:pPr>
            <w:r w:rsidRPr="00F017A7">
              <w:t>drill core</w:t>
            </w:r>
          </w:p>
          <w:p w:rsidR="00000000" w:rsidRPr="00F017A7" w:rsidP="00F017A7">
            <w:pPr>
              <w:pStyle w:val="ListBullet"/>
            </w:pPr>
            <w:r w:rsidRPr="00F017A7">
              <w:t>stream sediment</w:t>
            </w:r>
          </w:p>
          <w:p w:rsidR="00000000" w:rsidRPr="00F017A7" w:rsidP="00F017A7">
            <w:pPr>
              <w:pStyle w:val="ListBullet"/>
            </w:pPr>
            <w:r w:rsidRPr="00F017A7">
              <w:t>mine samples</w:t>
            </w:r>
          </w:p>
          <w:p w:rsidR="00000000" w:rsidRPr="00F017A7" w:rsidP="00F017A7">
            <w:pPr>
              <w:pStyle w:val="ListBullet"/>
            </w:pPr>
            <w:r w:rsidRPr="00F017A7">
              <w:t>gas or air samples</w:t>
            </w:r>
          </w:p>
          <w:p w:rsidR="00000000" w:rsidRPr="00F017A7" w:rsidP="00F017A7">
            <w:pPr>
              <w:pStyle w:val="ListBullet"/>
            </w:pPr>
            <w:r w:rsidRPr="00F017A7">
              <w:t>water, wastewater, stormwater, sewage, sludges</w:t>
            </w:r>
          </w:p>
          <w:p w:rsidR="00000000" w:rsidRPr="00F017A7" w:rsidP="00F017A7">
            <w:pPr>
              <w:pStyle w:val="ListBullet"/>
            </w:pPr>
            <w:r w:rsidRPr="00F017A7">
              <w:t>construction materials</w:t>
            </w:r>
          </w:p>
          <w:p w:rsidR="00000000" w:rsidRPr="00F017A7" w:rsidP="00F017A7">
            <w:pPr>
              <w:pStyle w:val="ListBullet"/>
            </w:pPr>
            <w:r w:rsidRPr="00F017A7">
              <w:t>solid wastes</w:t>
            </w:r>
          </w:p>
          <w:p w:rsidR="00000000" w:rsidRPr="00F017A7" w:rsidP="00F017A7">
            <w:pPr>
              <w:pStyle w:val="ListBullet"/>
            </w:pPr>
            <w:r w:rsidRPr="00F017A7">
              <w:t>raw materials</w:t>
            </w:r>
          </w:p>
          <w:p w:rsidR="00000000" w:rsidRPr="00F017A7" w:rsidP="00F017A7">
            <w:pPr>
              <w:pStyle w:val="ListBullet"/>
            </w:pPr>
            <w:r w:rsidRPr="00F017A7">
              <w:t xml:space="preserve">final products </w:t>
            </w:r>
          </w:p>
          <w:p w:rsidR="00000000" w:rsidRPr="00F017A7" w:rsidP="00F017A7">
            <w:pPr>
              <w:pStyle w:val="ListBullet"/>
            </w:pPr>
            <w:r w:rsidRPr="00F017A7">
              <w:t>hazardous materials and/or dangerous goods</w:t>
            </w:r>
          </w:p>
          <w:p w:rsidR="00000000" w:rsidP="00F017A7">
            <w:pPr>
              <w:pStyle w:val="ListBullet"/>
              <w:rPr>
                <w:lang w:val="en-NZ"/>
              </w:rPr>
            </w:pPr>
            <w:r w:rsidRPr="00F017A7">
              <w:t>atmospheric or airborne contaminants</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Site hazards</w:t>
            </w:r>
            <w:r w:rsidRPr="00F017A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solar radiation, dust and noise</w:t>
            </w:r>
          </w:p>
          <w:p w:rsidR="00000000" w:rsidRPr="00F017A7" w:rsidP="00F017A7">
            <w:pPr>
              <w:pStyle w:val="ListBullet"/>
            </w:pPr>
            <w:r w:rsidRPr="00F017A7">
              <w:t>wildlife, such as snakes, spiders, domestic animals</w:t>
            </w:r>
          </w:p>
          <w:p w:rsidR="00000000" w:rsidRPr="00F017A7" w:rsidP="00F017A7">
            <w:pPr>
              <w:pStyle w:val="ListBullet"/>
            </w:pPr>
            <w:r w:rsidRPr="00F017A7">
              <w:t>biohazards, such as micro-organisms and agents associated with soil, air, water</w:t>
            </w:r>
          </w:p>
          <w:p w:rsidR="00000000" w:rsidRPr="00F017A7" w:rsidP="00F017A7">
            <w:pPr>
              <w:pStyle w:val="ListBullet"/>
            </w:pPr>
            <w:r w:rsidRPr="00F017A7">
              <w:t>chemicals, such as acids and hydrocarbons</w:t>
            </w:r>
          </w:p>
          <w:p w:rsidR="00000000" w:rsidRPr="00F017A7" w:rsidP="00F017A7">
            <w:pPr>
              <w:pStyle w:val="ListBullet"/>
            </w:pPr>
            <w:r w:rsidRPr="00F017A7">
              <w:t>sharps, broken glassware</w:t>
            </w:r>
          </w:p>
          <w:p w:rsidR="00000000" w:rsidRPr="00F017A7" w:rsidP="00F017A7">
            <w:pPr>
              <w:pStyle w:val="ListBullet"/>
            </w:pPr>
            <w:r w:rsidRPr="00F017A7">
              <w:t>manual/handling of heavy sample bags and containers</w:t>
            </w:r>
          </w:p>
          <w:p w:rsidR="00000000" w:rsidRPr="00F017A7" w:rsidP="00F017A7">
            <w:pPr>
              <w:pStyle w:val="ListBullet"/>
            </w:pPr>
            <w:r w:rsidRPr="00F017A7">
              <w:t>crushing, entanglement, cuts associated with moving machinery and hand tools</w:t>
            </w:r>
          </w:p>
          <w:p w:rsidR="00000000" w:rsidRPr="00F017A7" w:rsidP="00F017A7">
            <w:pPr>
              <w:pStyle w:val="ListBullet"/>
            </w:pPr>
            <w:r w:rsidRPr="00F017A7">
              <w:t>falling objects, uneven surfaces, heights, slopes, wet surfaces, trenches, confined spaces</w:t>
            </w:r>
          </w:p>
          <w:p w:rsidR="00000000" w:rsidP="00F017A7">
            <w:pPr>
              <w:pStyle w:val="ListBullet"/>
              <w:rPr>
                <w:lang w:val="en-NZ"/>
              </w:rPr>
            </w:pPr>
            <w:r w:rsidRPr="00F017A7">
              <w:t>vehicle handling in rough terrain, boat handling in rough or flowing water</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Safety proce</w:t>
            </w:r>
            <w:r w:rsidRPr="00F017A7">
              <w:rPr>
                <w:rStyle w:val="SpecialBold"/>
              </w:rPr>
              <w:t>dures</w:t>
            </w:r>
            <w:r w:rsidRPr="00F017A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use of materials safety data sheets (MSDS)</w:t>
            </w:r>
          </w:p>
          <w:p w:rsidR="00000000" w:rsidRPr="00F017A7" w:rsidP="00F017A7">
            <w:pPr>
              <w:pStyle w:val="ListBullet"/>
            </w:pPr>
            <w:r w:rsidRPr="00F017A7">
              <w:t>use of personal protective equipment, such as hard hats, heavy protection, gloves, safety glasses, goggles, faceguards, coveralls, gown, body suits, respirators, safety boots</w:t>
            </w:r>
          </w:p>
          <w:p w:rsidR="00000000" w:rsidRPr="00F017A7" w:rsidP="00F017A7">
            <w:pPr>
              <w:pStyle w:val="ListBullet"/>
            </w:pPr>
            <w:r w:rsidRPr="00F017A7">
              <w:t xml:space="preserve">correct labelling </w:t>
            </w:r>
            <w:r w:rsidRPr="00F017A7">
              <w:t>of hazardous materials</w:t>
            </w:r>
          </w:p>
          <w:p w:rsidR="00000000" w:rsidRPr="00F017A7" w:rsidP="00F017A7">
            <w:pPr>
              <w:pStyle w:val="ListBullet"/>
            </w:pPr>
            <w:r w:rsidRPr="00F017A7">
              <w:t>handling and storing hazardous material and equipment in accordance with labels, MSDS, manufacturer's instructions, enterprise procedures and regulations</w:t>
            </w:r>
          </w:p>
          <w:p w:rsidR="00000000" w:rsidRPr="00F017A7" w:rsidP="00F017A7">
            <w:pPr>
              <w:pStyle w:val="ListBullet"/>
            </w:pPr>
            <w:r w:rsidRPr="00F017A7">
              <w:t>regular cleaning and/or decontamination of equipment</w:t>
            </w:r>
          </w:p>
          <w:p w:rsidR="00000000" w:rsidRPr="00F017A7" w:rsidP="00F017A7">
            <w:pPr>
              <w:pStyle w:val="ListBullet"/>
            </w:pPr>
            <w:r w:rsidRPr="00F017A7">
              <w:t>machinery guards</w:t>
            </w:r>
          </w:p>
          <w:p w:rsidR="00000000" w:rsidRPr="00F017A7" w:rsidP="00F017A7">
            <w:pPr>
              <w:pStyle w:val="ListBullet"/>
            </w:pPr>
            <w:r w:rsidRPr="00F017A7">
              <w:t xml:space="preserve">signage, </w:t>
            </w:r>
            <w:r w:rsidRPr="00F017A7">
              <w:t>barriers, service isolation tags, traffic control, flashing lights</w:t>
            </w:r>
          </w:p>
          <w:p w:rsidR="00000000" w:rsidP="00F017A7">
            <w:pPr>
              <w:pStyle w:val="ListBullet"/>
              <w:rPr>
                <w:lang w:val="en-NZ"/>
              </w:rPr>
            </w:pPr>
            <w:r w:rsidRPr="00F017A7">
              <w:t>lockout and tagout procedures</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Representative sampling</w:t>
            </w:r>
            <w:r w:rsidRPr="00F017A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size</w:t>
            </w:r>
          </w:p>
          <w:p w:rsidR="00000000" w:rsidRPr="00F017A7" w:rsidP="00F017A7">
            <w:pPr>
              <w:pStyle w:val="ListBullet"/>
            </w:pPr>
            <w:r w:rsidRPr="00F017A7">
              <w:t>frequency</w:t>
            </w:r>
          </w:p>
          <w:p w:rsidR="00000000" w:rsidP="00F017A7">
            <w:pPr>
              <w:pStyle w:val="ListBullet"/>
              <w:rPr>
                <w:lang w:val="en-NZ"/>
              </w:rPr>
            </w:pPr>
            <w:r w:rsidRPr="00F017A7">
              <w:t>location</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Types of samples</w:t>
            </w:r>
            <w:r w:rsidRPr="00F017A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grab samples</w:t>
            </w:r>
          </w:p>
          <w:p w:rsidR="00000000" w:rsidRPr="00F017A7" w:rsidP="00F017A7">
            <w:pPr>
              <w:pStyle w:val="ListBullet"/>
            </w:pPr>
            <w:r w:rsidRPr="00F017A7">
              <w:t>disturbed or undisturbed materials</w:t>
            </w:r>
          </w:p>
          <w:p w:rsidR="00000000" w:rsidRPr="00F017A7" w:rsidP="00F017A7">
            <w:pPr>
              <w:pStyle w:val="ListBullet"/>
            </w:pPr>
            <w:r w:rsidRPr="00F017A7">
              <w:t>composite samples, such as time, flow proportioned, horizontal/vertical cross section</w:t>
            </w:r>
          </w:p>
          <w:p w:rsidR="00000000" w:rsidP="00F017A7">
            <w:pPr>
              <w:pStyle w:val="ListBullet"/>
              <w:rPr>
                <w:lang w:val="en-NZ"/>
              </w:rPr>
            </w:pPr>
            <w:r w:rsidRPr="00F017A7">
              <w:t>quality control samples, such as controls, background, duplicate, blanks</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Sampling tools and equipment</w:t>
            </w:r>
            <w:r w:rsidRPr="00F017A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hand tools</w:t>
            </w:r>
          </w:p>
          <w:p w:rsidR="00000000" w:rsidRPr="00F017A7" w:rsidP="00F017A7">
            <w:pPr>
              <w:pStyle w:val="ListBullet"/>
            </w:pPr>
            <w:r w:rsidRPr="00F017A7">
              <w:t>carrying devices</w:t>
            </w:r>
          </w:p>
          <w:p w:rsidR="00000000" w:rsidRPr="00F017A7" w:rsidP="00F017A7">
            <w:pPr>
              <w:pStyle w:val="ListBullet"/>
            </w:pPr>
            <w:r w:rsidRPr="00F017A7">
              <w:t>portable power tools</w:t>
            </w:r>
          </w:p>
          <w:p w:rsidR="00000000" w:rsidRPr="00F017A7" w:rsidP="00F017A7">
            <w:pPr>
              <w:pStyle w:val="ListBullet"/>
            </w:pPr>
            <w:r w:rsidRPr="00F017A7">
              <w:t>front-end loader, backhoe, excavator, drill rig</w:t>
            </w:r>
          </w:p>
          <w:p w:rsidR="00000000" w:rsidRPr="00F017A7" w:rsidP="00F017A7">
            <w:pPr>
              <w:pStyle w:val="ListBullet"/>
            </w:pPr>
            <w:r w:rsidRPr="00F017A7">
              <w:t>shovels, augers, bucket</w:t>
            </w:r>
          </w:p>
          <w:p w:rsidR="00000000" w:rsidRPr="00F017A7" w:rsidP="00F017A7">
            <w:pPr>
              <w:pStyle w:val="ListBullet"/>
            </w:pPr>
            <w:r w:rsidRPr="00F017A7">
              <w:t>sampling frames, sampling tubes, dip tubes, spears, flexible bladders, syringes</w:t>
            </w:r>
          </w:p>
          <w:p w:rsidR="00000000" w:rsidRPr="00F017A7" w:rsidP="00F017A7">
            <w:pPr>
              <w:pStyle w:val="ListBullet"/>
            </w:pPr>
            <w:r w:rsidRPr="00F017A7">
              <w:t>access valves</w:t>
            </w:r>
          </w:p>
          <w:p w:rsidR="00000000" w:rsidRPr="00F017A7" w:rsidP="00F017A7">
            <w:pPr>
              <w:pStyle w:val="ListBullet"/>
            </w:pPr>
            <w:r w:rsidRPr="00F017A7">
              <w:t>sample thief</w:t>
            </w:r>
          </w:p>
          <w:p w:rsidR="00000000" w:rsidRPr="00F017A7" w:rsidP="00F017A7">
            <w:pPr>
              <w:pStyle w:val="ListBullet"/>
            </w:pPr>
            <w:r w:rsidRPr="00F017A7">
              <w:t>weighted sample bottles, bottles, plastic/metal containers and disposable buc</w:t>
            </w:r>
            <w:r w:rsidRPr="00F017A7">
              <w:t>kets</w:t>
            </w:r>
          </w:p>
          <w:p w:rsidR="00000000" w:rsidRPr="00F017A7" w:rsidP="00F017A7">
            <w:pPr>
              <w:pStyle w:val="ListBullet"/>
            </w:pPr>
            <w:r w:rsidRPr="00F017A7">
              <w:t>sterile containers, pipettes, inoculating loops, disposable spoons</w:t>
            </w:r>
          </w:p>
          <w:p w:rsidR="00000000" w:rsidRPr="00F017A7" w:rsidP="00F017A7">
            <w:pPr>
              <w:pStyle w:val="ListBullet"/>
            </w:pPr>
            <w:r w:rsidRPr="00F017A7">
              <w:t>pumps, stainless steel bailers</w:t>
            </w:r>
          </w:p>
          <w:p w:rsidR="00000000" w:rsidRPr="00F017A7" w:rsidP="00F017A7">
            <w:pPr>
              <w:pStyle w:val="ListBullet"/>
            </w:pPr>
            <w:r w:rsidRPr="00F017A7">
              <w:t>mechanical gravity separator</w:t>
            </w:r>
          </w:p>
          <w:p w:rsidR="00000000" w:rsidRPr="00F017A7" w:rsidP="00F017A7">
            <w:pPr>
              <w:pStyle w:val="ListBullet"/>
            </w:pPr>
            <w:r w:rsidRPr="00F017A7">
              <w:t>high specific gravity liquids</w:t>
            </w:r>
          </w:p>
          <w:p w:rsidR="00000000" w:rsidRPr="00F017A7" w:rsidP="00F017A7">
            <w:pPr>
              <w:pStyle w:val="ListBullet"/>
            </w:pPr>
            <w:r w:rsidRPr="00F017A7">
              <w:t>hand magnet</w:t>
            </w:r>
          </w:p>
          <w:p w:rsidR="00000000" w:rsidRPr="00F017A7" w:rsidP="00F017A7">
            <w:pPr>
              <w:pStyle w:val="ListBullet"/>
            </w:pPr>
            <w:r w:rsidRPr="00F017A7">
              <w:t>isodynamic magnetic separator</w:t>
            </w:r>
          </w:p>
          <w:p w:rsidR="00000000" w:rsidRPr="00F017A7" w:rsidP="00F017A7">
            <w:pPr>
              <w:pStyle w:val="ListBullet"/>
            </w:pPr>
            <w:r w:rsidRPr="00F017A7">
              <w:t>electrostatic separator</w:t>
            </w:r>
          </w:p>
          <w:p w:rsidR="00000000" w:rsidRPr="00F017A7" w:rsidP="00F017A7">
            <w:pPr>
              <w:pStyle w:val="ListBullet"/>
            </w:pPr>
            <w:r w:rsidRPr="00F017A7">
              <w:t>crusher</w:t>
            </w:r>
          </w:p>
          <w:p w:rsidR="00000000" w:rsidRPr="00F017A7" w:rsidP="00F017A7">
            <w:pPr>
              <w:pStyle w:val="ListBullet"/>
            </w:pPr>
            <w:r w:rsidRPr="00F017A7">
              <w:t>ultrasonic cleaner</w:t>
            </w:r>
          </w:p>
          <w:p w:rsidR="00000000" w:rsidRPr="00F017A7" w:rsidP="00F017A7">
            <w:pPr>
              <w:pStyle w:val="ListBullet"/>
            </w:pPr>
            <w:r w:rsidRPr="00F017A7">
              <w:t>p</w:t>
            </w:r>
            <w:r w:rsidRPr="00F017A7">
              <w:t>anning and hand jigging</w:t>
            </w:r>
          </w:p>
          <w:p w:rsidR="00000000" w:rsidRPr="00F017A7" w:rsidP="00F017A7">
            <w:pPr>
              <w:pStyle w:val="ListBullet"/>
            </w:pPr>
            <w:r w:rsidRPr="00F017A7">
              <w:t>hydraulic rock splitter</w:t>
            </w:r>
          </w:p>
          <w:p w:rsidR="00000000" w:rsidRPr="00F017A7" w:rsidP="00F017A7">
            <w:pPr>
              <w:pStyle w:val="ListBullet"/>
            </w:pPr>
            <w:r w:rsidRPr="00F017A7">
              <w:t>diamond saw</w:t>
            </w:r>
          </w:p>
          <w:p w:rsidR="00000000" w:rsidRPr="00F017A7" w:rsidP="00F017A7">
            <w:pPr>
              <w:pStyle w:val="ListBullet"/>
            </w:pPr>
            <w:r w:rsidRPr="00F017A7">
              <w:t>sledge hammer</w:t>
            </w:r>
          </w:p>
          <w:p w:rsidR="00000000" w:rsidRPr="00F017A7" w:rsidP="00F017A7">
            <w:pPr>
              <w:pStyle w:val="ListBullet"/>
            </w:pPr>
            <w:r w:rsidRPr="00F017A7">
              <w:t>crushers</w:t>
            </w:r>
          </w:p>
          <w:p w:rsidR="00000000" w:rsidP="00F017A7">
            <w:pPr>
              <w:pStyle w:val="ListBullet"/>
              <w:rPr>
                <w:lang w:val="en-NZ"/>
              </w:rPr>
            </w:pPr>
            <w:r w:rsidRPr="00F017A7">
              <w:t>screens</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Sample preparation</w:t>
            </w:r>
            <w:r w:rsidRPr="00F017A7">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marking up</w:t>
            </w:r>
          </w:p>
          <w:p w:rsidR="00000000" w:rsidRPr="00F017A7" w:rsidP="00F017A7">
            <w:pPr>
              <w:pStyle w:val="ListBullet"/>
            </w:pPr>
            <w:r w:rsidRPr="00F017A7">
              <w:t>splitting</w:t>
            </w:r>
          </w:p>
          <w:p w:rsidR="00000000" w:rsidRPr="00F017A7" w:rsidP="00F017A7">
            <w:pPr>
              <w:pStyle w:val="ListBullet"/>
            </w:pPr>
            <w:r w:rsidRPr="00F017A7">
              <w:t>sub-sampling</w:t>
            </w:r>
          </w:p>
          <w:p w:rsidR="00000000" w:rsidRPr="00F017A7" w:rsidP="00F017A7">
            <w:pPr>
              <w:pStyle w:val="ListBullet"/>
            </w:pPr>
            <w:r w:rsidRPr="00F017A7">
              <w:t>sealing</w:t>
            </w:r>
          </w:p>
          <w:p w:rsidR="00000000" w:rsidRPr="00F017A7" w:rsidP="00F017A7">
            <w:pPr>
              <w:pStyle w:val="ListBullet"/>
            </w:pPr>
            <w:r w:rsidRPr="00F017A7">
              <w:t>size reduction</w:t>
            </w:r>
          </w:p>
          <w:p w:rsidR="00000000" w:rsidRPr="00F017A7" w:rsidP="00F017A7">
            <w:pPr>
              <w:pStyle w:val="ListBullet"/>
            </w:pPr>
            <w:r w:rsidRPr="00F017A7">
              <w:t>specific gravity</w:t>
            </w:r>
          </w:p>
          <w:p w:rsidR="00000000" w:rsidRPr="00F017A7" w:rsidP="00F017A7">
            <w:pPr>
              <w:pStyle w:val="ListBullet"/>
            </w:pPr>
            <w:r w:rsidRPr="00F017A7">
              <w:t>magnetic suspension</w:t>
            </w:r>
          </w:p>
          <w:p w:rsidR="00000000" w:rsidRPr="00F017A7" w:rsidP="00F017A7">
            <w:pPr>
              <w:pStyle w:val="ListBullet"/>
            </w:pPr>
            <w:r w:rsidRPr="00F017A7">
              <w:t>core-cutting</w:t>
            </w:r>
          </w:p>
          <w:p w:rsidR="00000000" w:rsidRPr="00F017A7" w:rsidP="00F017A7">
            <w:pPr>
              <w:pStyle w:val="ListBullet"/>
            </w:pPr>
            <w:r w:rsidRPr="00F017A7">
              <w:t>crushing/grinding</w:t>
            </w:r>
          </w:p>
          <w:p w:rsidR="00000000" w:rsidRPr="00F017A7" w:rsidP="00F017A7">
            <w:pPr>
              <w:pStyle w:val="ListBullet"/>
            </w:pPr>
            <w:r w:rsidRPr="00F017A7">
              <w:t>sieving</w:t>
            </w:r>
          </w:p>
          <w:p w:rsidR="00000000" w:rsidRPr="00F017A7" w:rsidP="00F017A7">
            <w:pPr>
              <w:pStyle w:val="ListBullet"/>
            </w:pPr>
            <w:r w:rsidRPr="00F017A7">
              <w:t>riffling</w:t>
            </w:r>
          </w:p>
          <w:p w:rsidR="00000000" w:rsidRPr="00F017A7" w:rsidP="00F017A7">
            <w:pPr>
              <w:pStyle w:val="ListBullet"/>
            </w:pPr>
            <w:r w:rsidRPr="00F017A7">
              <w:t>blending</w:t>
            </w:r>
          </w:p>
          <w:p w:rsidR="00000000" w:rsidRPr="00F017A7" w:rsidP="00F017A7">
            <w:pPr>
              <w:pStyle w:val="ListBullet"/>
            </w:pPr>
            <w:r w:rsidRPr="00F017A7">
              <w:t>homogenisation</w:t>
            </w:r>
          </w:p>
          <w:p w:rsidR="00000000" w:rsidRPr="00F017A7" w:rsidP="00F017A7">
            <w:pPr>
              <w:pStyle w:val="ListBullet"/>
            </w:pPr>
            <w:r w:rsidRPr="00F017A7">
              <w:t>coning</w:t>
            </w:r>
          </w:p>
          <w:p w:rsidR="00000000" w:rsidRPr="00F017A7" w:rsidP="00F017A7">
            <w:pPr>
              <w:pStyle w:val="ListBullet"/>
            </w:pPr>
            <w:r w:rsidRPr="00F017A7">
              <w:t>quartering</w:t>
            </w:r>
          </w:p>
          <w:p w:rsidR="00000000" w:rsidRPr="00F017A7" w:rsidP="00F017A7">
            <w:pPr>
              <w:pStyle w:val="ListBullet"/>
            </w:pPr>
            <w:r w:rsidRPr="00F017A7">
              <w:t>preparing sub-sample including: stain/polish</w:t>
            </w:r>
          </w:p>
          <w:p w:rsidR="00000000" w:rsidP="00F017A7">
            <w:pPr>
              <w:pStyle w:val="ListBullet"/>
              <w:rPr>
                <w:lang w:val="en-NZ"/>
              </w:rPr>
            </w:pPr>
            <w:r w:rsidRPr="00F017A7">
              <w:t>petrological and electron microscope/electron microprobes</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Maintenance of integrity of samples</w:t>
            </w:r>
            <w:r w:rsidRPr="00F017A7">
              <w:t xml:space="preserve"> could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appropriate containers and lids (for example, glass, plastic, amber, opaque)</w:t>
            </w:r>
          </w:p>
          <w:p w:rsidR="00000000" w:rsidRPr="00F017A7" w:rsidP="00F017A7">
            <w:pPr>
              <w:pStyle w:val="ListBullet"/>
            </w:pPr>
            <w:r w:rsidRPr="00F017A7">
              <w:t>sealing of sample containers</w:t>
            </w:r>
          </w:p>
          <w:p w:rsidR="00000000" w:rsidRPr="00F017A7" w:rsidP="00F017A7">
            <w:pPr>
              <w:pStyle w:val="ListBullet"/>
            </w:pPr>
            <w:r w:rsidRPr="00F017A7">
              <w:t>purging of sample lines and bores</w:t>
            </w:r>
          </w:p>
          <w:p w:rsidR="00000000" w:rsidRPr="00F017A7" w:rsidP="00F017A7">
            <w:pPr>
              <w:pStyle w:val="ListBullet"/>
            </w:pPr>
            <w:r w:rsidRPr="00F017A7">
              <w:t>decontamination of sampling tools between collection of consecutive samples</w:t>
            </w:r>
          </w:p>
          <w:p w:rsidR="00000000" w:rsidRPr="00F017A7" w:rsidP="00F017A7">
            <w:pPr>
              <w:pStyle w:val="ListBullet"/>
            </w:pPr>
            <w:r w:rsidRPr="00F017A7">
              <w:t>use of appropriate preservatives (for ex</w:t>
            </w:r>
            <w:r w:rsidRPr="00F017A7">
              <w:t>ample, sodium azide, toluene or antibiotics)</w:t>
            </w:r>
          </w:p>
          <w:p w:rsidR="00000000" w:rsidRPr="00F017A7" w:rsidP="00F017A7">
            <w:pPr>
              <w:pStyle w:val="ListBullet"/>
            </w:pPr>
            <w:r w:rsidRPr="00F017A7">
              <w:t>wrapping container in foil or wet newspaper</w:t>
            </w:r>
          </w:p>
          <w:p w:rsidR="00000000" w:rsidRPr="00F017A7" w:rsidP="00F017A7">
            <w:pPr>
              <w:pStyle w:val="ListBullet"/>
            </w:pPr>
            <w:r w:rsidRPr="00F017A7">
              <w:t>temperature control, which may involve prevention of direct contact between the sample and coolant</w:t>
            </w:r>
          </w:p>
          <w:p w:rsidR="00000000" w:rsidRPr="00F017A7" w:rsidP="00F017A7">
            <w:pPr>
              <w:pStyle w:val="ListBullet"/>
            </w:pPr>
            <w:r w:rsidRPr="00F017A7">
              <w:t>transfer of sterile sample into sterile container</w:t>
            </w:r>
          </w:p>
          <w:p w:rsidR="00000000" w:rsidRPr="00F017A7" w:rsidP="00F017A7">
            <w:pPr>
              <w:pStyle w:val="ListBullet"/>
            </w:pPr>
            <w:r w:rsidRPr="00F017A7">
              <w:t>monitoring of stor</w:t>
            </w:r>
            <w:r w:rsidRPr="00F017A7">
              <w:t>age conditions</w:t>
            </w:r>
          </w:p>
          <w:p w:rsidR="00000000" w:rsidP="00F017A7">
            <w:pPr>
              <w:pStyle w:val="ListBullet"/>
              <w:rPr>
                <w:lang w:val="en-NZ"/>
              </w:rPr>
            </w:pPr>
            <w:r w:rsidRPr="00F017A7">
              <w:t>enterprise/legal traceability through appropriate sample labelling and records</w:t>
            </w:r>
          </w:p>
        </w:tc>
      </w:tr>
      <w:tr w:rsidTr="00EC516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7A7">
            <w:pPr>
              <w:pStyle w:val="BodyText"/>
              <w:rPr>
                <w:lang w:val="en-NZ"/>
              </w:rPr>
            </w:pPr>
            <w:r w:rsidRPr="00F017A7">
              <w:rPr>
                <w:rStyle w:val="SpecialBold"/>
              </w:rPr>
              <w:t>Minimising environmental impacts</w:t>
            </w:r>
            <w:r w:rsidRPr="00F017A7">
              <w:t xml:space="preserve"> may involve: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7A7" w:rsidP="00F017A7">
            <w:pPr>
              <w:pStyle w:val="ListBullet"/>
            </w:pPr>
            <w:r w:rsidRPr="00F017A7">
              <w:t>replacement of soils and vegetation</w:t>
            </w:r>
          </w:p>
          <w:p w:rsidR="00000000" w:rsidRPr="00F017A7" w:rsidP="00F017A7">
            <w:pPr>
              <w:pStyle w:val="ListBullet"/>
            </w:pPr>
            <w:r w:rsidRPr="00F017A7">
              <w:t>driving to minimise soil erosion and damage to fauna and vegetation</w:t>
            </w:r>
          </w:p>
          <w:p w:rsidR="00000000" w:rsidRPr="00F017A7" w:rsidP="00F017A7">
            <w:pPr>
              <w:pStyle w:val="ListBullet"/>
            </w:pPr>
            <w:r w:rsidRPr="00F017A7">
              <w:t>disposal of surplus, spent or purged materials</w:t>
            </w:r>
          </w:p>
          <w:p w:rsidR="00000000" w:rsidRPr="00F017A7" w:rsidP="00F017A7">
            <w:pPr>
              <w:pStyle w:val="ListBullet"/>
            </w:pPr>
            <w:r w:rsidRPr="00F017A7">
              <w:t>recycling of non-hazardous wastes</w:t>
            </w:r>
          </w:p>
          <w:p w:rsidR="00000000" w:rsidRPr="00F017A7" w:rsidP="00F017A7">
            <w:pPr>
              <w:pStyle w:val="ListBullet"/>
            </w:pPr>
            <w:r w:rsidRPr="00F017A7">
              <w:t>appropriate disposal of hazardous waste</w:t>
            </w:r>
          </w:p>
          <w:p w:rsidR="00000000" w:rsidRPr="00F017A7" w:rsidP="00F017A7">
            <w:pPr>
              <w:pStyle w:val="ListBullet"/>
            </w:pPr>
            <w:r w:rsidRPr="00F017A7">
              <w:t>cleaning of vehicles to prevent transfer of pests and contaminants</w:t>
            </w:r>
          </w:p>
        </w:tc>
      </w:tr>
    </w:tbl>
    <w:p w:rsidR="00000000" w:rsidRPr="00F017A7" w:rsidP="00F017A7">
      <w:pPr>
        <w:pStyle w:val="BodyText"/>
      </w:pPr>
    </w:p>
    <w:p w:rsidR="00000000" w:rsidRPr="00F017A7" w:rsidP="00F017A7">
      <w:pPr>
        <w:pStyle w:val="AllowPageBreak"/>
      </w:pPr>
    </w:p>
    <w:p w:rsidR="00000000" w:rsidRPr="00F017A7" w:rsidP="00F017A7">
      <w:pPr>
        <w:pStyle w:val="Heading1"/>
      </w:pPr>
      <w:bookmarkStart w:id="12" w:name="O_134582"/>
      <w:bookmarkEnd w:id="12"/>
      <w:r w:rsidRPr="00F017A7">
        <w:t>Unit Sector(s)</w:t>
      </w:r>
    </w:p>
    <w:p w:rsidR="00000000" w:rsidRPr="00F017A7" w:rsidP="00F017A7">
      <w:pPr>
        <w:pStyle w:val="BodyText"/>
      </w:pPr>
      <w:r w:rsidRPr="00F017A7">
        <w:t>Sampling, Testing and Data Process</w:t>
      </w:r>
      <w:r w:rsidRPr="00F017A7">
        <w:t>ing and Recording</w:t>
      </w:r>
    </w:p>
    <w:p w:rsidR="00000000" w:rsidRPr="00F017A7" w:rsidP="00F017A7">
      <w:pPr>
        <w:pStyle w:val="AllowPageBreak"/>
      </w:pPr>
    </w:p>
    <w:p w:rsidR="00000000" w:rsidRPr="00F017A7" w:rsidP="00F017A7">
      <w:pPr>
        <w:pStyle w:val="Heading1"/>
      </w:pPr>
      <w:bookmarkStart w:id="13" w:name="O_162217"/>
      <w:bookmarkEnd w:id="13"/>
      <w:r w:rsidRPr="00F017A7">
        <w:t>Competency field</w:t>
      </w:r>
    </w:p>
    <w:p w:rsidR="00000000" w:rsidRPr="00F017A7" w:rsidP="00F017A7">
      <w:pPr>
        <w:pStyle w:val="BodyText"/>
      </w:pPr>
      <w:r w:rsidRPr="00F017A7">
        <w:t>Refer to Unit Sector(s).</w:t>
      </w:r>
    </w:p>
    <w:p w:rsidR="00000000" w:rsidRPr="00F017A7" w:rsidP="00F017A7">
      <w:pPr>
        <w:pStyle w:val="AllowPageBreak"/>
      </w:pPr>
    </w:p>
    <w:p w:rsidR="00000000" w:rsidRPr="00F017A7" w:rsidP="00F017A7">
      <w:pPr>
        <w:pStyle w:val="Heading1"/>
      </w:pPr>
      <w:bookmarkStart w:id="14" w:name="O_162216"/>
      <w:bookmarkEnd w:id="14"/>
      <w:r w:rsidRPr="00F017A7">
        <w:t>Co-requisite units</w:t>
      </w:r>
    </w:p>
    <w:p w:rsidR="00000000" w:rsidRPr="00F017A7" w:rsidP="00F017A7">
      <w:pPr>
        <w:pStyle w:val="BodyText"/>
      </w:pPr>
      <w:r w:rsidRPr="00F017A7">
        <w:t>Not applicable.</w:t>
      </w:r>
    </w:p>
    <w:p w:rsidR="00000000" w:rsidRPr="00F017A7" w:rsidP="00F017A7"/>
    <w:sectPr w:rsidSect="00F017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16F" w:rsidP="00EC5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F" w:rsidP="00F017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C516F" w:rsidP="00F017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C516F" w:rsidP="00F017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516F" w:rsidP="00EC51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7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6F" w:rsidP="00F017A7">
    <w:pPr>
      <w:pStyle w:val="Header"/>
      <w:framePr w:wrap="around"/>
    </w:pPr>
    <w:r>
      <w:fldChar w:fldCharType="begin"/>
    </w:r>
    <w:r>
      <w:instrText xml:space="preserve"> TITLE   \* MERGEFORMAT </w:instrText>
    </w:r>
    <w:r>
      <w:fldChar w:fldCharType="separate"/>
    </w:r>
    <w:r>
      <w:t>RIISTD202A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516F" w:rsidP="00F017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CC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C87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9C2E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7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7A7"/>
    <w:pPr>
      <w:spacing w:before="360" w:after="60"/>
      <w:outlineLvl w:val="0"/>
    </w:pPr>
    <w:rPr>
      <w:sz w:val="32"/>
    </w:rPr>
  </w:style>
  <w:style w:type="paragraph" w:styleId="Heading2">
    <w:name w:val="heading 2"/>
    <w:basedOn w:val="HeadingBase"/>
    <w:next w:val="BodyText"/>
    <w:link w:val="Heading2Char"/>
    <w:qFormat/>
    <w:rsid w:val="00F017A7"/>
    <w:pPr>
      <w:keepLines/>
      <w:spacing w:before="240" w:after="120"/>
      <w:outlineLvl w:val="1"/>
    </w:pPr>
    <w:rPr>
      <w:sz w:val="28"/>
      <w:szCs w:val="40"/>
    </w:rPr>
  </w:style>
  <w:style w:type="paragraph" w:styleId="Heading3">
    <w:name w:val="heading 3"/>
    <w:basedOn w:val="HeadingBase"/>
    <w:next w:val="BodyText"/>
    <w:link w:val="Heading3Char"/>
    <w:qFormat/>
    <w:rsid w:val="00F017A7"/>
    <w:pPr>
      <w:spacing w:before="180" w:after="120"/>
      <w:outlineLvl w:val="2"/>
    </w:pPr>
    <w:rPr>
      <w:spacing w:val="-10"/>
      <w:kern w:val="32"/>
    </w:rPr>
  </w:style>
  <w:style w:type="paragraph" w:styleId="Heading4">
    <w:name w:val="heading 4"/>
    <w:basedOn w:val="HeadingBase"/>
    <w:next w:val="BodyText"/>
    <w:link w:val="Heading4Char"/>
    <w:qFormat/>
    <w:rsid w:val="00F017A7"/>
    <w:pPr>
      <w:spacing w:before="160" w:after="120"/>
      <w:outlineLvl w:val="3"/>
    </w:pPr>
    <w:rPr>
      <w:sz w:val="22"/>
    </w:rPr>
  </w:style>
  <w:style w:type="paragraph" w:styleId="Heading5">
    <w:name w:val="heading 5"/>
    <w:basedOn w:val="HeadingBase"/>
    <w:next w:val="Normal"/>
    <w:link w:val="Heading5Char"/>
    <w:qFormat/>
    <w:rsid w:val="00F017A7"/>
    <w:pPr>
      <w:spacing w:before="80"/>
      <w:outlineLvl w:val="4"/>
    </w:pPr>
    <w:rPr>
      <w:color w:val="918585"/>
      <w:sz w:val="20"/>
    </w:rPr>
  </w:style>
  <w:style w:type="paragraph" w:styleId="Heading6">
    <w:name w:val="heading 6"/>
    <w:basedOn w:val="HeadingBase"/>
    <w:next w:val="Normal"/>
    <w:link w:val="Heading6Char"/>
    <w:qFormat/>
    <w:rsid w:val="00F017A7"/>
    <w:pPr>
      <w:spacing w:before="60"/>
      <w:outlineLvl w:val="5"/>
    </w:pPr>
    <w:rPr>
      <w:color w:val="918585"/>
      <w:sz w:val="20"/>
    </w:rPr>
  </w:style>
  <w:style w:type="paragraph" w:styleId="Heading7">
    <w:name w:val="heading 7"/>
    <w:basedOn w:val="Normal"/>
    <w:next w:val="Normal"/>
    <w:link w:val="Heading7Char"/>
    <w:qFormat/>
    <w:rsid w:val="00F017A7"/>
    <w:pPr>
      <w:ind w:left="720"/>
      <w:outlineLvl w:val="6"/>
    </w:pPr>
    <w:rPr>
      <w:i/>
    </w:rPr>
  </w:style>
  <w:style w:type="paragraph" w:styleId="Heading8">
    <w:name w:val="heading 8"/>
    <w:basedOn w:val="Normal"/>
    <w:next w:val="Normal"/>
    <w:link w:val="Heading8Char"/>
    <w:qFormat/>
    <w:rsid w:val="00F017A7"/>
    <w:pPr>
      <w:ind w:left="720"/>
      <w:outlineLvl w:val="7"/>
    </w:pPr>
    <w:rPr>
      <w:i/>
    </w:rPr>
  </w:style>
  <w:style w:type="paragraph" w:styleId="Heading9">
    <w:name w:val="heading 9"/>
    <w:basedOn w:val="Normal"/>
    <w:next w:val="Normal"/>
    <w:link w:val="Heading9Char"/>
    <w:qFormat/>
    <w:rsid w:val="00F017A7"/>
    <w:pPr>
      <w:ind w:left="720"/>
      <w:outlineLvl w:val="8"/>
    </w:pPr>
    <w:rPr>
      <w:i/>
    </w:rPr>
  </w:style>
  <w:style w:type="character" w:default="1" w:styleId="DefaultParagraphFont">
    <w:name w:val="Default Paragraph Font"/>
    <w:uiPriority w:val="1"/>
    <w:unhideWhenUsed/>
    <w:rsid w:val="00F017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7A7"/>
  </w:style>
  <w:style w:type="character" w:customStyle="1" w:styleId="Heading1Char">
    <w:name w:val="Heading 1 Char"/>
    <w:basedOn w:val="DefaultParagraphFont"/>
    <w:link w:val="Heading1"/>
    <w:rsid w:val="00F017A7"/>
    <w:rPr>
      <w:rFonts w:ascii="Times New Roman" w:eastAsia="Times New Roman" w:hAnsi="Times New Roman" w:cs="Times New Roman"/>
      <w:b/>
      <w:sz w:val="32"/>
      <w:szCs w:val="20"/>
      <w:lang w:eastAsia="en-US"/>
    </w:rPr>
  </w:style>
  <w:style w:type="paragraph" w:styleId="BodyText">
    <w:name w:val="Body Text"/>
    <w:basedOn w:val="Normal"/>
    <w:link w:val="BodyTextChar"/>
    <w:rsid w:val="00F017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7A7"/>
    <w:rPr>
      <w:rFonts w:ascii="Times New Roman" w:eastAsia="Times New Roman" w:hAnsi="Times New Roman" w:cs="Times New Roman"/>
      <w:sz w:val="24"/>
      <w:lang w:val="en-US" w:eastAsia="en-US"/>
    </w:rPr>
  </w:style>
  <w:style w:type="paragraph" w:styleId="Footer">
    <w:name w:val="footer"/>
    <w:basedOn w:val="Normal"/>
    <w:link w:val="FooterChar"/>
    <w:rsid w:val="00F017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7A7"/>
    <w:rPr>
      <w:rFonts w:ascii="Times New Roman" w:eastAsia="Times New Roman" w:hAnsi="Times New Roman" w:cs="Times New Roman"/>
      <w:sz w:val="16"/>
      <w:lang w:val="en-US" w:eastAsia="en-US"/>
    </w:rPr>
  </w:style>
  <w:style w:type="paragraph" w:styleId="List">
    <w:name w:val="List"/>
    <w:basedOn w:val="BodyText"/>
    <w:next w:val="BodyText"/>
    <w:rsid w:val="00F017A7"/>
    <w:pPr>
      <w:tabs>
        <w:tab w:val="left" w:pos="340"/>
      </w:tabs>
      <w:spacing w:before="60" w:after="60"/>
      <w:ind w:left="340" w:hanging="340"/>
    </w:pPr>
  </w:style>
  <w:style w:type="paragraph" w:styleId="ListBullet">
    <w:name w:val="List Bullet"/>
    <w:basedOn w:val="List"/>
    <w:rsid w:val="00F017A7"/>
    <w:pPr>
      <w:numPr>
        <w:numId w:val="13"/>
      </w:numPr>
      <w:tabs>
        <w:tab w:val="clear" w:pos="340"/>
      </w:tabs>
      <w:spacing w:before="40" w:after="40"/>
    </w:pPr>
  </w:style>
  <w:style w:type="character" w:customStyle="1" w:styleId="SpecialBold">
    <w:name w:val="Special Bold"/>
    <w:basedOn w:val="DefaultParagraphFont"/>
    <w:rsid w:val="00F017A7"/>
    <w:rPr>
      <w:b/>
      <w:spacing w:val="0"/>
    </w:rPr>
  </w:style>
  <w:style w:type="paragraph" w:styleId="ListBullet2">
    <w:name w:val="List Bullet 2"/>
    <w:basedOn w:val="List2"/>
    <w:rsid w:val="00F017A7"/>
    <w:pPr>
      <w:numPr>
        <w:numId w:val="14"/>
      </w:numPr>
      <w:tabs>
        <w:tab w:val="clear" w:pos="680"/>
      </w:tabs>
    </w:pPr>
  </w:style>
  <w:style w:type="paragraph" w:styleId="Header">
    <w:name w:val="header"/>
    <w:basedOn w:val="Normal"/>
    <w:link w:val="HeaderChar"/>
    <w:rsid w:val="00F017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7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7A7"/>
    <w:pPr>
      <w:spacing w:before="240" w:after="120"/>
      <w:outlineLvl w:val="0"/>
    </w:pPr>
    <w:rPr>
      <w:rFonts w:ascii="Times New Roman" w:hAnsi="Times New Roman"/>
      <w:b/>
      <w:sz w:val="28"/>
    </w:rPr>
  </w:style>
  <w:style w:type="paragraph" w:customStyle="1" w:styleId="AllowPageBreak">
    <w:name w:val="AllowPageBreak"/>
    <w:rsid w:val="00F017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7A7"/>
    <w:pPr>
      <w:tabs>
        <w:tab w:val="left" w:pos="680"/>
      </w:tabs>
      <w:spacing w:before="60" w:after="60"/>
      <w:ind w:left="680" w:hanging="340"/>
    </w:pPr>
  </w:style>
  <w:style w:type="character" w:customStyle="1" w:styleId="BoldandItalics">
    <w:name w:val="Bold and Italics"/>
    <w:qFormat/>
    <w:rsid w:val="00F017A7"/>
    <w:rPr>
      <w:b/>
      <w:i/>
      <w:u w:val="none"/>
    </w:rPr>
  </w:style>
  <w:style w:type="character" w:customStyle="1" w:styleId="Heading2Char">
    <w:name w:val="Heading 2 Char"/>
    <w:basedOn w:val="DefaultParagraphFont"/>
    <w:link w:val="Heading2"/>
    <w:rsid w:val="00F017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7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7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7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7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7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7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7A7"/>
    <w:rPr>
      <w:rFonts w:ascii="Courier New" w:eastAsia="Times New Roman" w:hAnsi="Courier New" w:cs="Times New Roman"/>
      <w:i/>
      <w:szCs w:val="20"/>
      <w:lang w:val="en-US" w:eastAsia="en-US"/>
    </w:rPr>
  </w:style>
  <w:style w:type="paragraph" w:customStyle="1" w:styleId="HeadingBase">
    <w:name w:val="Heading Base"/>
    <w:rsid w:val="00F017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7A7"/>
    <w:pPr>
      <w:tabs>
        <w:tab w:val="right" w:leader="dot" w:pos="9072"/>
      </w:tabs>
      <w:ind w:left="567"/>
    </w:pPr>
    <w:rPr>
      <w:szCs w:val="22"/>
    </w:rPr>
  </w:style>
  <w:style w:type="paragraph" w:customStyle="1" w:styleId="TOCBase">
    <w:name w:val="TOC Base"/>
    <w:rsid w:val="00F017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7A7"/>
    <w:pPr>
      <w:tabs>
        <w:tab w:val="right" w:leader="dot" w:pos="9072"/>
      </w:tabs>
      <w:spacing w:before="40" w:after="40"/>
      <w:ind w:left="284"/>
    </w:pPr>
    <w:rPr>
      <w:rFonts w:ascii="Times New Roman" w:hAnsi="Times New Roman"/>
    </w:rPr>
  </w:style>
  <w:style w:type="paragraph" w:styleId="TOC1">
    <w:name w:val="toc 1"/>
    <w:basedOn w:val="TOCBase"/>
    <w:next w:val="Normal"/>
    <w:rsid w:val="00F017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7A7"/>
    <w:pPr>
      <w:spacing w:before="5040"/>
      <w:jc w:val="center"/>
    </w:pPr>
    <w:rPr>
      <w:sz w:val="48"/>
      <w:szCs w:val="72"/>
      <w:lang w:val="en-US"/>
    </w:rPr>
  </w:style>
  <w:style w:type="character" w:customStyle="1" w:styleId="TitleChar">
    <w:name w:val="Title Char"/>
    <w:basedOn w:val="DefaultParagraphFont"/>
    <w:link w:val="Title"/>
    <w:rsid w:val="00F017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7A7"/>
    <w:pPr>
      <w:tabs>
        <w:tab w:val="left" w:pos="3600"/>
        <w:tab w:val="left" w:pos="3958"/>
      </w:tabs>
    </w:pPr>
  </w:style>
  <w:style w:type="paragraph" w:customStyle="1" w:styleId="Note">
    <w:name w:val="Note"/>
    <w:basedOn w:val="BodyText"/>
    <w:rsid w:val="00F017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7A7"/>
    <w:pPr>
      <w:framePr w:wrap="auto" w:hAnchor="text" w:y="6049"/>
    </w:pPr>
    <w:rPr>
      <w:color w:val="000000"/>
      <w:sz w:val="40"/>
    </w:rPr>
  </w:style>
  <w:style w:type="paragraph" w:customStyle="1" w:styleId="TOCTitle">
    <w:name w:val="TOCTitle"/>
    <w:basedOn w:val="Heading1"/>
    <w:rsid w:val="00F017A7"/>
    <w:pPr>
      <w:spacing w:after="240"/>
      <w:jc w:val="center"/>
      <w:outlineLvl w:val="9"/>
    </w:pPr>
    <w:rPr>
      <w:caps/>
    </w:rPr>
  </w:style>
  <w:style w:type="paragraph" w:customStyle="1" w:styleId="Version">
    <w:name w:val="Version"/>
    <w:rsid w:val="00F017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7A7"/>
    <w:pPr>
      <w:keepNext w:val="0"/>
      <w:tabs>
        <w:tab w:val="right" w:pos="4176"/>
      </w:tabs>
      <w:ind w:left="198" w:hanging="198"/>
    </w:pPr>
    <w:rPr>
      <w:rFonts w:ascii="Garamond" w:hAnsi="Garamond"/>
    </w:rPr>
  </w:style>
  <w:style w:type="paragraph" w:styleId="IndexHeading">
    <w:name w:val="index heading"/>
    <w:basedOn w:val="Normal"/>
    <w:next w:val="Index1"/>
    <w:semiHidden/>
    <w:rsid w:val="00F017A7"/>
    <w:pPr>
      <w:spacing w:before="120" w:after="120"/>
    </w:pPr>
    <w:rPr>
      <w:rFonts w:ascii="Arial" w:hAnsi="Arial"/>
      <w:b/>
      <w:color w:val="918585"/>
      <w:sz w:val="24"/>
    </w:rPr>
  </w:style>
  <w:style w:type="paragraph" w:customStyle="1" w:styleId="Chapter">
    <w:name w:val="Chapter"/>
    <w:basedOn w:val="Normal"/>
    <w:rsid w:val="00F017A7"/>
    <w:pPr>
      <w:spacing w:before="240"/>
    </w:pPr>
    <w:rPr>
      <w:rFonts w:ascii="Times New Roman" w:hAnsi="Times New Roman"/>
      <w:smallCaps/>
      <w:spacing w:val="80"/>
      <w:sz w:val="28"/>
    </w:rPr>
  </w:style>
  <w:style w:type="paragraph" w:customStyle="1" w:styleId="InChapter">
    <w:name w:val="InChapter"/>
    <w:basedOn w:val="Heading3"/>
    <w:rsid w:val="00F017A7"/>
    <w:pPr>
      <w:spacing w:after="240"/>
      <w:outlineLvl w:val="9"/>
    </w:pPr>
    <w:rPr>
      <w:noProof/>
    </w:rPr>
  </w:style>
  <w:style w:type="paragraph" w:styleId="Index2">
    <w:name w:val="index 2"/>
    <w:basedOn w:val="Normal"/>
    <w:next w:val="Normal"/>
    <w:semiHidden/>
    <w:rsid w:val="00F017A7"/>
    <w:pPr>
      <w:tabs>
        <w:tab w:val="right" w:pos="4176"/>
      </w:tabs>
      <w:ind w:left="568" w:hanging="284"/>
    </w:pPr>
    <w:rPr>
      <w:rFonts w:ascii="Garamond" w:hAnsi="Garamond"/>
    </w:rPr>
  </w:style>
  <w:style w:type="paragraph" w:customStyle="1" w:styleId="Byline">
    <w:name w:val="Byline"/>
    <w:rsid w:val="00F017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7A7"/>
    <w:pPr>
      <w:tabs>
        <w:tab w:val="clear" w:pos="3600"/>
        <w:tab w:val="clear" w:pos="3958"/>
      </w:tabs>
      <w:jc w:val="right"/>
    </w:pPr>
  </w:style>
  <w:style w:type="character" w:styleId="Emphasis">
    <w:name w:val="Emphasis"/>
    <w:basedOn w:val="DefaultParagraphFont"/>
    <w:qFormat/>
    <w:rsid w:val="00F017A7"/>
    <w:rPr>
      <w:i/>
    </w:rPr>
  </w:style>
  <w:style w:type="paragraph" w:styleId="Caption">
    <w:name w:val="caption"/>
    <w:basedOn w:val="BodyText"/>
    <w:next w:val="Normal"/>
    <w:qFormat/>
    <w:rsid w:val="00F017A7"/>
    <w:pPr>
      <w:framePr w:w="2268" w:hSpace="181" w:vSpace="181" w:wrap="around" w:vAnchor="text" w:hAnchor="page" w:x="1135" w:y="285" w:anchorLock="1"/>
    </w:pPr>
    <w:rPr>
      <w:i/>
    </w:rPr>
  </w:style>
  <w:style w:type="paragraph" w:customStyle="1" w:styleId="MiniTOCTitle">
    <w:name w:val="MiniTOCTitle"/>
    <w:basedOn w:val="Heading4"/>
    <w:rsid w:val="00F017A7"/>
    <w:pPr>
      <w:spacing w:before="240"/>
      <w:outlineLvl w:val="9"/>
    </w:pPr>
    <w:rPr>
      <w:noProof/>
      <w:sz w:val="24"/>
    </w:rPr>
  </w:style>
  <w:style w:type="paragraph" w:customStyle="1" w:styleId="MiniTOCItem">
    <w:name w:val="MiniTOCItem"/>
    <w:basedOn w:val="ListBullet"/>
    <w:rsid w:val="00F017A7"/>
    <w:pPr>
      <w:numPr>
        <w:numId w:val="0"/>
      </w:numPr>
      <w:tabs>
        <w:tab w:val="right" w:leader="dot" w:pos="6521"/>
      </w:tabs>
      <w:spacing w:before="0" w:after="0"/>
    </w:pPr>
  </w:style>
  <w:style w:type="paragraph" w:customStyle="1" w:styleId="TOFTitle">
    <w:name w:val="TOFTitle"/>
    <w:basedOn w:val="TOCTitle"/>
    <w:rsid w:val="00F017A7"/>
  </w:style>
  <w:style w:type="paragraph" w:styleId="TableofFigures">
    <w:name w:val="table of figures"/>
    <w:basedOn w:val="Normal"/>
    <w:next w:val="Normal"/>
    <w:semiHidden/>
    <w:rsid w:val="00F017A7"/>
    <w:pPr>
      <w:tabs>
        <w:tab w:val="right" w:leader="dot" w:pos="9072"/>
      </w:tabs>
      <w:ind w:left="970" w:hanging="403"/>
    </w:pPr>
    <w:rPr>
      <w:rFonts w:ascii="Times New Roman" w:hAnsi="Times New Roman"/>
      <w:b/>
    </w:rPr>
  </w:style>
  <w:style w:type="paragraph" w:styleId="ListNumber">
    <w:name w:val="List Number"/>
    <w:basedOn w:val="List"/>
    <w:rsid w:val="00F017A7"/>
    <w:pPr>
      <w:numPr>
        <w:numId w:val="11"/>
      </w:numPr>
    </w:pPr>
  </w:style>
  <w:style w:type="character" w:customStyle="1" w:styleId="WingdingSymbols">
    <w:name w:val="Wingding Symbols"/>
    <w:rsid w:val="00F017A7"/>
    <w:rPr>
      <w:rFonts w:ascii="Wingdings" w:hAnsi="Wingdings"/>
    </w:rPr>
  </w:style>
  <w:style w:type="paragraph" w:customStyle="1" w:styleId="TableHeading">
    <w:name w:val="Table Heading"/>
    <w:basedOn w:val="HeadingBase"/>
    <w:rsid w:val="00F017A7"/>
    <w:pPr>
      <w:keepLines/>
      <w:pBdr>
        <w:bottom w:val="single" w:sz="6" w:space="1" w:color="918585"/>
      </w:pBdr>
      <w:spacing w:before="240"/>
    </w:pPr>
  </w:style>
  <w:style w:type="character" w:customStyle="1" w:styleId="HotSpot">
    <w:name w:val="HotSpot"/>
    <w:rsid w:val="00F017A7"/>
    <w:rPr>
      <w:color w:val="0033CC"/>
      <w:u w:val="none"/>
    </w:rPr>
  </w:style>
  <w:style w:type="paragraph" w:customStyle="1" w:styleId="BodyTextRight">
    <w:name w:val="Body Text Right"/>
    <w:basedOn w:val="BodyText"/>
    <w:rsid w:val="00F017A7"/>
    <w:pPr>
      <w:spacing w:before="0" w:after="0"/>
      <w:jc w:val="right"/>
    </w:pPr>
  </w:style>
  <w:style w:type="paragraph" w:styleId="Index3">
    <w:name w:val="index 3"/>
    <w:basedOn w:val="ListNumber2"/>
    <w:next w:val="Normal"/>
    <w:semiHidden/>
    <w:rsid w:val="00F017A7"/>
    <w:pPr>
      <w:numPr>
        <w:numId w:val="0"/>
      </w:numPr>
      <w:tabs>
        <w:tab w:val="right" w:leader="dot" w:pos="4176"/>
      </w:tabs>
    </w:pPr>
  </w:style>
  <w:style w:type="paragraph" w:styleId="ListNumber2">
    <w:name w:val="List Number 2"/>
    <w:basedOn w:val="List2"/>
    <w:rsid w:val="00F017A7"/>
    <w:pPr>
      <w:numPr>
        <w:numId w:val="10"/>
      </w:numPr>
      <w:tabs>
        <w:tab w:val="clear" w:pos="1060"/>
      </w:tabs>
    </w:pPr>
  </w:style>
  <w:style w:type="paragraph" w:customStyle="1" w:styleId="MarginNote">
    <w:name w:val="Margin Note"/>
    <w:basedOn w:val="BodyText"/>
    <w:rsid w:val="00F017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7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7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7A7"/>
    <w:rPr>
      <w:sz w:val="32"/>
    </w:rPr>
  </w:style>
  <w:style w:type="paragraph" w:customStyle="1" w:styleId="HeadingProcedure">
    <w:name w:val="Heading Procedure"/>
    <w:basedOn w:val="HeadingBase"/>
    <w:next w:val="Normal"/>
    <w:rsid w:val="00F017A7"/>
    <w:pPr>
      <w:tabs>
        <w:tab w:val="left" w:pos="0"/>
      </w:tabs>
      <w:spacing w:before="120" w:after="60"/>
    </w:pPr>
    <w:rPr>
      <w:i/>
      <w:color w:val="918585"/>
      <w:sz w:val="22"/>
    </w:rPr>
  </w:style>
  <w:style w:type="paragraph" w:customStyle="1" w:styleId="TableBodyText">
    <w:name w:val="Table Body Text"/>
    <w:basedOn w:val="BodyText"/>
    <w:rsid w:val="00F017A7"/>
    <w:pPr>
      <w:spacing w:before="60" w:after="60"/>
    </w:pPr>
  </w:style>
  <w:style w:type="paragraph" w:styleId="ListContinue">
    <w:name w:val="List Continue"/>
    <w:basedOn w:val="List"/>
    <w:rsid w:val="00F017A7"/>
    <w:pPr>
      <w:ind w:firstLine="0"/>
    </w:pPr>
  </w:style>
  <w:style w:type="paragraph" w:customStyle="1" w:styleId="ListNote">
    <w:name w:val="List Note"/>
    <w:basedOn w:val="List"/>
    <w:rsid w:val="00F017A7"/>
    <w:pPr>
      <w:pBdr>
        <w:top w:val="single" w:sz="6" w:space="2" w:color="918585"/>
        <w:bottom w:val="single" w:sz="6" w:space="2" w:color="918585"/>
      </w:pBdr>
      <w:tabs>
        <w:tab w:val="left" w:pos="1021"/>
      </w:tabs>
      <w:ind w:firstLine="0"/>
    </w:pPr>
  </w:style>
  <w:style w:type="paragraph" w:customStyle="1" w:styleId="Warning">
    <w:name w:val="Warning"/>
    <w:basedOn w:val="BodyText"/>
    <w:rsid w:val="00F017A7"/>
    <w:pPr>
      <w:shd w:val="clear" w:color="auto" w:fill="D9D9D9"/>
      <w:tabs>
        <w:tab w:val="left" w:pos="992"/>
      </w:tabs>
      <w:ind w:left="119" w:right="119"/>
    </w:pPr>
    <w:rPr>
      <w:sz w:val="20"/>
    </w:rPr>
  </w:style>
  <w:style w:type="paragraph" w:customStyle="1" w:styleId="MarginIcons">
    <w:name w:val="Margin Icons"/>
    <w:basedOn w:val="BodyText"/>
    <w:rsid w:val="00F017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7A7"/>
    <w:rPr>
      <w:rFonts w:ascii="Courier New" w:hAnsi="Courier New"/>
    </w:rPr>
  </w:style>
  <w:style w:type="paragraph" w:customStyle="1" w:styleId="NoteBullet">
    <w:name w:val="Note Bullet"/>
    <w:basedOn w:val="Note"/>
    <w:rsid w:val="00F017A7"/>
    <w:pPr>
      <w:tabs>
        <w:tab w:val="clear" w:pos="680"/>
      </w:tabs>
      <w:spacing w:before="60" w:after="60"/>
    </w:pPr>
  </w:style>
  <w:style w:type="paragraph" w:customStyle="1" w:styleId="SubHeading2">
    <w:name w:val="SubHeading2"/>
    <w:basedOn w:val="HeadingBase"/>
    <w:rsid w:val="00F017A7"/>
    <w:pPr>
      <w:spacing w:before="240" w:after="60"/>
    </w:pPr>
    <w:rPr>
      <w:sz w:val="20"/>
    </w:rPr>
  </w:style>
  <w:style w:type="paragraph" w:customStyle="1" w:styleId="SubHeading1">
    <w:name w:val="SubHeading1"/>
    <w:basedOn w:val="HeadingBase"/>
    <w:rsid w:val="00F017A7"/>
    <w:pPr>
      <w:spacing w:before="240" w:after="60"/>
    </w:pPr>
    <w:rPr>
      <w:color w:val="918585"/>
      <w:sz w:val="22"/>
    </w:rPr>
  </w:style>
  <w:style w:type="paragraph" w:customStyle="1" w:styleId="SideHeading">
    <w:name w:val="Side Heading"/>
    <w:basedOn w:val="HeadingBase"/>
    <w:rsid w:val="00F017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7A7"/>
    <w:pPr>
      <w:numPr>
        <w:numId w:val="12"/>
      </w:numPr>
    </w:pPr>
  </w:style>
  <w:style w:type="paragraph" w:styleId="PlainText">
    <w:name w:val="Plain Text"/>
    <w:basedOn w:val="Normal"/>
    <w:link w:val="PlainTextChar"/>
    <w:rsid w:val="00F017A7"/>
    <w:rPr>
      <w:sz w:val="20"/>
    </w:rPr>
  </w:style>
  <w:style w:type="character" w:customStyle="1" w:styleId="PlainTextChar">
    <w:name w:val="Plain Text Char"/>
    <w:basedOn w:val="DefaultParagraphFont"/>
    <w:link w:val="PlainText"/>
    <w:rsid w:val="00F017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7A7"/>
    <w:rPr>
      <w:b/>
      <w:smallCaps/>
    </w:rPr>
  </w:style>
  <w:style w:type="paragraph" w:customStyle="1" w:styleId="TableListNumber">
    <w:name w:val="Table List Number"/>
    <w:basedOn w:val="ListNumber"/>
    <w:rsid w:val="00F017A7"/>
    <w:pPr>
      <w:numPr>
        <w:numId w:val="0"/>
      </w:numPr>
    </w:pPr>
  </w:style>
  <w:style w:type="paragraph" w:styleId="TOC4">
    <w:name w:val="toc 4"/>
    <w:basedOn w:val="TOCBase"/>
    <w:next w:val="Normal"/>
    <w:semiHidden/>
    <w:rsid w:val="00F017A7"/>
    <w:pPr>
      <w:tabs>
        <w:tab w:val="right" w:leader="dot" w:pos="9071"/>
      </w:tabs>
      <w:ind w:left="1701"/>
    </w:pPr>
  </w:style>
  <w:style w:type="paragraph" w:customStyle="1" w:styleId="ListAlpha">
    <w:name w:val="List Alpha"/>
    <w:basedOn w:val="List"/>
    <w:rsid w:val="00F017A7"/>
    <w:pPr>
      <w:numPr>
        <w:numId w:val="9"/>
      </w:numPr>
    </w:pPr>
  </w:style>
  <w:style w:type="paragraph" w:customStyle="1" w:styleId="ListAlpha2">
    <w:name w:val="List Alpha 2"/>
    <w:basedOn w:val="List2"/>
    <w:rsid w:val="00F017A7"/>
    <w:pPr>
      <w:numPr>
        <w:numId w:val="8"/>
      </w:numPr>
    </w:pPr>
  </w:style>
  <w:style w:type="paragraph" w:styleId="List3">
    <w:name w:val="List 3"/>
    <w:basedOn w:val="BodyText"/>
    <w:rsid w:val="00F017A7"/>
    <w:pPr>
      <w:tabs>
        <w:tab w:val="left" w:pos="1021"/>
      </w:tabs>
      <w:spacing w:before="60" w:after="60"/>
      <w:ind w:left="1020" w:hanging="340"/>
    </w:pPr>
  </w:style>
  <w:style w:type="paragraph" w:styleId="List4">
    <w:name w:val="List 4"/>
    <w:basedOn w:val="BodyText"/>
    <w:rsid w:val="00F017A7"/>
    <w:pPr>
      <w:tabs>
        <w:tab w:val="left" w:pos="1361"/>
      </w:tabs>
      <w:spacing w:before="60" w:after="60"/>
      <w:ind w:left="1361" w:hanging="340"/>
    </w:pPr>
  </w:style>
  <w:style w:type="paragraph" w:styleId="List5">
    <w:name w:val="List 5"/>
    <w:basedOn w:val="BodyText"/>
    <w:rsid w:val="00F017A7"/>
    <w:pPr>
      <w:tabs>
        <w:tab w:val="left" w:pos="1701"/>
      </w:tabs>
      <w:spacing w:before="60" w:after="60"/>
      <w:ind w:left="1701" w:hanging="340"/>
    </w:pPr>
  </w:style>
  <w:style w:type="paragraph" w:styleId="ListBullet3">
    <w:name w:val="List Bullet 3"/>
    <w:basedOn w:val="List3"/>
    <w:rsid w:val="00F017A7"/>
    <w:pPr>
      <w:numPr>
        <w:numId w:val="15"/>
      </w:numPr>
      <w:tabs>
        <w:tab w:val="clear" w:pos="1021"/>
      </w:tabs>
      <w:ind w:left="1037" w:hanging="357"/>
    </w:pPr>
  </w:style>
  <w:style w:type="paragraph" w:styleId="ListBullet4">
    <w:name w:val="List Bullet 4"/>
    <w:basedOn w:val="List4"/>
    <w:rsid w:val="00F017A7"/>
    <w:pPr>
      <w:numPr>
        <w:numId w:val="3"/>
      </w:numPr>
    </w:pPr>
  </w:style>
  <w:style w:type="paragraph" w:styleId="ListBullet5">
    <w:name w:val="List Bullet 5"/>
    <w:basedOn w:val="List5"/>
    <w:rsid w:val="00F017A7"/>
    <w:pPr>
      <w:numPr>
        <w:numId w:val="4"/>
      </w:numPr>
    </w:pPr>
  </w:style>
  <w:style w:type="paragraph" w:styleId="ListContinue2">
    <w:name w:val="List Continue 2"/>
    <w:basedOn w:val="List2"/>
    <w:rsid w:val="00F017A7"/>
    <w:pPr>
      <w:ind w:firstLine="0"/>
    </w:pPr>
  </w:style>
  <w:style w:type="paragraph" w:styleId="ListContinue3">
    <w:name w:val="List Continue 3"/>
    <w:basedOn w:val="List3"/>
    <w:rsid w:val="00F017A7"/>
    <w:pPr>
      <w:ind w:left="1021" w:firstLine="0"/>
    </w:pPr>
  </w:style>
  <w:style w:type="paragraph" w:styleId="ListContinue4">
    <w:name w:val="List Continue 4"/>
    <w:basedOn w:val="List4"/>
    <w:rsid w:val="00F017A7"/>
    <w:pPr>
      <w:ind w:firstLine="0"/>
    </w:pPr>
  </w:style>
  <w:style w:type="paragraph" w:styleId="ListContinue5">
    <w:name w:val="List Continue 5"/>
    <w:basedOn w:val="List5"/>
    <w:rsid w:val="00F017A7"/>
    <w:pPr>
      <w:ind w:firstLine="0"/>
    </w:pPr>
  </w:style>
  <w:style w:type="paragraph" w:styleId="ListNumber3">
    <w:name w:val="List Number 3"/>
    <w:basedOn w:val="List3"/>
    <w:rsid w:val="00F017A7"/>
    <w:pPr>
      <w:numPr>
        <w:numId w:val="5"/>
      </w:numPr>
    </w:pPr>
  </w:style>
  <w:style w:type="paragraph" w:styleId="ListNumber4">
    <w:name w:val="List Number 4"/>
    <w:basedOn w:val="List4"/>
    <w:rsid w:val="00F017A7"/>
    <w:pPr>
      <w:numPr>
        <w:numId w:val="6"/>
      </w:numPr>
    </w:pPr>
  </w:style>
  <w:style w:type="paragraph" w:styleId="ListNumber5">
    <w:name w:val="List Number 5"/>
    <w:basedOn w:val="List5"/>
    <w:rsid w:val="00F017A7"/>
    <w:pPr>
      <w:numPr>
        <w:numId w:val="7"/>
      </w:numPr>
    </w:pPr>
  </w:style>
  <w:style w:type="paragraph" w:styleId="BlockText">
    <w:name w:val="Block Text"/>
    <w:basedOn w:val="Normal"/>
    <w:rsid w:val="00F017A7"/>
    <w:pPr>
      <w:spacing w:after="120"/>
      <w:ind w:left="1440" w:right="1440"/>
    </w:pPr>
  </w:style>
  <w:style w:type="character" w:customStyle="1" w:styleId="Subscript">
    <w:name w:val="Subscript"/>
    <w:basedOn w:val="DefaultParagraphFont"/>
    <w:rsid w:val="00F017A7"/>
    <w:rPr>
      <w:sz w:val="16"/>
      <w:vertAlign w:val="subscript"/>
    </w:rPr>
  </w:style>
  <w:style w:type="character" w:customStyle="1" w:styleId="Superscript">
    <w:name w:val="Superscript"/>
    <w:basedOn w:val="DefaultParagraphFont"/>
    <w:rsid w:val="00F017A7"/>
    <w:rPr>
      <w:sz w:val="16"/>
      <w:vertAlign w:val="superscript"/>
    </w:rPr>
  </w:style>
  <w:style w:type="character" w:customStyle="1" w:styleId="Symbols">
    <w:name w:val="Symbols"/>
    <w:basedOn w:val="DefaultParagraphFont"/>
    <w:rsid w:val="00F017A7"/>
    <w:rPr>
      <w:rFonts w:ascii="Symbol" w:hAnsi="Symbol"/>
    </w:rPr>
  </w:style>
  <w:style w:type="character" w:customStyle="1" w:styleId="MenuOptions">
    <w:name w:val="Menu Options"/>
    <w:basedOn w:val="DefaultParagraphFont"/>
    <w:rsid w:val="00F017A7"/>
    <w:rPr>
      <w:rFonts w:ascii="Arial Narrow" w:hAnsi="Arial Narrow"/>
      <w:smallCaps/>
    </w:rPr>
  </w:style>
  <w:style w:type="character" w:customStyle="1" w:styleId="Buttons">
    <w:name w:val="Buttons"/>
    <w:basedOn w:val="DefaultParagraphFont"/>
    <w:rsid w:val="00F017A7"/>
    <w:rPr>
      <w:b/>
    </w:rPr>
  </w:style>
  <w:style w:type="character" w:customStyle="1" w:styleId="Underlined">
    <w:name w:val="Underlined"/>
    <w:basedOn w:val="DefaultParagraphFont"/>
    <w:rsid w:val="00F017A7"/>
    <w:rPr>
      <w:u w:val="single"/>
    </w:rPr>
  </w:style>
  <w:style w:type="paragraph" w:customStyle="1" w:styleId="TableBodyTextRight">
    <w:name w:val="Table Body Text Right"/>
    <w:basedOn w:val="TableBodyText"/>
    <w:rsid w:val="00F017A7"/>
    <w:pPr>
      <w:widowControl w:val="0"/>
      <w:autoSpaceDE w:val="0"/>
      <w:autoSpaceDN w:val="0"/>
      <w:adjustRightInd w:val="0"/>
      <w:jc w:val="right"/>
    </w:pPr>
    <w:rPr>
      <w:rFonts w:cs="Arial"/>
      <w:szCs w:val="18"/>
    </w:rPr>
  </w:style>
  <w:style w:type="paragraph" w:customStyle="1" w:styleId="CopyrightText">
    <w:name w:val="Copyright Text"/>
    <w:basedOn w:val="BodyText"/>
    <w:rsid w:val="00F017A7"/>
    <w:rPr>
      <w:sz w:val="18"/>
    </w:rPr>
  </w:style>
  <w:style w:type="paragraph" w:customStyle="1" w:styleId="BodySmallRight">
    <w:name w:val="Body Small Right"/>
    <w:basedOn w:val="BodyTextRight"/>
    <w:rsid w:val="00F017A7"/>
    <w:rPr>
      <w:sz w:val="18"/>
      <w:szCs w:val="18"/>
    </w:rPr>
  </w:style>
  <w:style w:type="paragraph" w:customStyle="1" w:styleId="MarginEdition">
    <w:name w:val="Margin Edition"/>
    <w:basedOn w:val="MarginNote"/>
    <w:rsid w:val="00F017A7"/>
    <w:pPr>
      <w:spacing w:before="0" w:after="0"/>
    </w:pPr>
    <w:rPr>
      <w:rFonts w:ascii="Times New Roman" w:hAnsi="Times New Roman"/>
      <w:color w:val="999999"/>
    </w:rPr>
  </w:style>
  <w:style w:type="paragraph" w:customStyle="1" w:styleId="Spacer">
    <w:name w:val="Spacer"/>
    <w:basedOn w:val="Normal"/>
    <w:rsid w:val="00F017A7"/>
    <w:rPr>
      <w:sz w:val="2"/>
      <w:szCs w:val="2"/>
    </w:rPr>
  </w:style>
  <w:style w:type="character" w:customStyle="1" w:styleId="Small">
    <w:name w:val="Small"/>
    <w:basedOn w:val="DefaultParagraphFont"/>
    <w:rsid w:val="00F017A7"/>
    <w:rPr>
      <w:sz w:val="16"/>
    </w:rPr>
  </w:style>
  <w:style w:type="paragraph" w:customStyle="1" w:styleId="WideTable">
    <w:name w:val="Wide Table"/>
    <w:basedOn w:val="Normal"/>
    <w:rsid w:val="00F017A7"/>
    <w:pPr>
      <w:ind w:left="-1418"/>
    </w:pPr>
    <w:rPr>
      <w:sz w:val="2"/>
      <w:szCs w:val="2"/>
    </w:rPr>
  </w:style>
  <w:style w:type="character" w:styleId="PageNumber">
    <w:name w:val="page number"/>
    <w:basedOn w:val="DefaultParagraphFont"/>
    <w:rsid w:val="00F017A7"/>
  </w:style>
  <w:style w:type="paragraph" w:styleId="Quote">
    <w:name w:val="Quote"/>
    <w:basedOn w:val="Heading1"/>
    <w:link w:val="QuoteChar"/>
    <w:qFormat/>
    <w:rsid w:val="00F017A7"/>
    <w:rPr>
      <w:b w:val="0"/>
      <w:sz w:val="72"/>
      <w:szCs w:val="72"/>
      <w:lang w:val="en-NZ"/>
    </w:rPr>
  </w:style>
  <w:style w:type="character" w:customStyle="1" w:styleId="QuoteChar">
    <w:name w:val="Quote Char"/>
    <w:basedOn w:val="DefaultParagraphFont"/>
    <w:link w:val="Quote"/>
    <w:rsid w:val="00F017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7A7"/>
    <w:pPr>
      <w:pageBreakBefore/>
    </w:pPr>
  </w:style>
  <w:style w:type="paragraph" w:customStyle="1" w:styleId="Border">
    <w:name w:val="Border"/>
    <w:basedOn w:val="Normal"/>
    <w:qFormat/>
    <w:rsid w:val="00F017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7A7"/>
    <w:rPr>
      <w:b/>
      <w:bCs/>
      <w:i/>
      <w:iCs/>
      <w:color w:val="auto"/>
    </w:rPr>
  </w:style>
  <w:style w:type="paragraph" w:styleId="IntenseQuote">
    <w:name w:val="Intense Quote"/>
    <w:basedOn w:val="Normal"/>
    <w:next w:val="Normal"/>
    <w:link w:val="IntenseQuoteChar"/>
    <w:uiPriority w:val="30"/>
    <w:qFormat/>
    <w:rsid w:val="00F017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7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7A7"/>
    <w:rPr>
      <w:smallCaps/>
      <w:color w:val="auto"/>
      <w:u w:val="single"/>
    </w:rPr>
  </w:style>
  <w:style w:type="character" w:styleId="IntenseReference">
    <w:name w:val="Intense Reference"/>
    <w:basedOn w:val="DefaultParagraphFont"/>
    <w:uiPriority w:val="32"/>
    <w:qFormat/>
    <w:rsid w:val="00F017A7"/>
    <w:rPr>
      <w:b/>
      <w:bCs/>
      <w:smallCaps/>
      <w:color w:val="auto"/>
      <w:spacing w:val="5"/>
      <w:u w:val="single"/>
    </w:rPr>
  </w:style>
  <w:style w:type="paragraph" w:customStyle="1" w:styleId="2ColumnHeading">
    <w:name w:val="2Column Heading"/>
    <w:basedOn w:val="BodyText"/>
    <w:qFormat/>
    <w:rsid w:val="00F017A7"/>
    <w:pPr>
      <w:spacing w:after="60"/>
      <w:ind w:left="-2268"/>
    </w:pPr>
    <w:rPr>
      <w:b/>
    </w:rPr>
  </w:style>
  <w:style w:type="paragraph" w:customStyle="1" w:styleId="Heading1TOC">
    <w:name w:val="Heading1 TOC"/>
    <w:basedOn w:val="Normal"/>
    <w:qFormat/>
    <w:rsid w:val="00F017A7"/>
    <w:pPr>
      <w:spacing w:before="240" w:after="120"/>
    </w:pPr>
    <w:rPr>
      <w:rFonts w:ascii="Times New Roman" w:hAnsi="Times New Roman"/>
      <w:b/>
      <w:sz w:val="32"/>
    </w:rPr>
  </w:style>
  <w:style w:type="paragraph" w:customStyle="1" w:styleId="Heading2TOC">
    <w:name w:val="Heading2 TOC"/>
    <w:basedOn w:val="Normal"/>
    <w:qFormat/>
    <w:rsid w:val="00F017A7"/>
    <w:pPr>
      <w:spacing w:before="240" w:after="60"/>
    </w:pPr>
    <w:rPr>
      <w:rFonts w:ascii="Times New Roman" w:hAnsi="Times New Roman"/>
      <w:b/>
      <w:sz w:val="28"/>
    </w:rPr>
  </w:style>
  <w:style w:type="character" w:customStyle="1" w:styleId="Underline">
    <w:name w:val="Underline"/>
    <w:basedOn w:val="DefaultParagraphFont"/>
    <w:qFormat/>
    <w:rsid w:val="00F017A7"/>
    <w:rPr>
      <w:u w:val="single"/>
    </w:rPr>
  </w:style>
  <w:style w:type="paragraph" w:styleId="BalloonText">
    <w:name w:val="Balloon Text"/>
    <w:basedOn w:val="Normal"/>
    <w:link w:val="BalloonTextChar"/>
    <w:rsid w:val="00F017A7"/>
    <w:rPr>
      <w:rFonts w:ascii="Tahoma" w:hAnsi="Tahoma" w:cs="Tahoma"/>
      <w:sz w:val="16"/>
      <w:szCs w:val="16"/>
    </w:rPr>
  </w:style>
  <w:style w:type="character" w:customStyle="1" w:styleId="BalloonTextChar">
    <w:name w:val="Balloon Text Char"/>
    <w:basedOn w:val="DefaultParagraphFont"/>
    <w:link w:val="BalloonText"/>
    <w:rsid w:val="00F017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7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7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1732</Words>
  <Characters>11251</Characters>
  <Application>Microsoft Office Word</Application>
  <DocSecurity>0</DocSecurity>
  <Lines>402</Lines>
  <Paragraphs>228</Paragraphs>
  <ScaleCrop>false</ScaleCrop>
  <Company>Author-it Software Corporation Ltd.</Company>
  <LinksUpToDate>false</LinksUpToDate>
  <CharactersWithSpaces>12908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RIISTD202A Collect routine site samples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2012-05-26T21:23:00Z</dcterms:created>
  <dcterms:modified xsi:type="dcterms:W3CDTF">2012-05-26T21:23:00Z</dcterms:modified>
</cp:coreProperties>
</file>