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7D3" w:rsidP="006027D3">
      <w:pPr>
        <w:pStyle w:val="Title"/>
      </w:pPr>
      <w:r>
        <w:fldChar w:fldCharType="begin"/>
      </w:r>
      <w:r>
        <w:instrText xml:space="preserve"> TITLE   \* MERGEFORMAT </w:instrText>
      </w:r>
      <w:r>
        <w:fldChar w:fldCharType="separate"/>
      </w:r>
      <w:r>
        <w:t>RIIPSM301A Cast a blast furnace</w:t>
      </w:r>
      <w:r>
        <w:fldChar w:fldCharType="end"/>
      </w:r>
    </w:p>
    <w:p w:rsidR="006027D3" w:rsidP="006027D3">
      <w:pPr>
        <w:pStyle w:val="Version"/>
        <w:sectPr w:rsidSect="003C1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D95" w:rsidP="003C1D95">
      <w:pPr>
        <w:pStyle w:val="SuperHeading"/>
      </w:pPr>
      <w:r w:rsidRPr="003C1D95">
        <w:t>RIIPSM301A Cast a blast furnace</w:t>
      </w:r>
    </w:p>
    <w:p w:rsidR="00000000" w:rsidRPr="003C1D95" w:rsidP="003C1D95">
      <w:pPr>
        <w:pStyle w:val="Heading1"/>
      </w:pPr>
      <w:bookmarkStart w:id="1" w:name="O_133503"/>
      <w:bookmarkEnd w:id="1"/>
      <w:r w:rsidRPr="003C1D95">
        <w:t>Modification History</w:t>
      </w:r>
    </w:p>
    <w:p w:rsidR="00000000" w:rsidRPr="003C1D95" w:rsidP="003C1D95">
      <w:pPr>
        <w:pStyle w:val="BodyText"/>
      </w:pPr>
      <w:r w:rsidRPr="003C1D95">
        <w:t>Not applicable.</w:t>
      </w:r>
    </w:p>
    <w:p w:rsidR="00000000" w:rsidRPr="003C1D95" w:rsidP="003C1D95">
      <w:pPr>
        <w:pStyle w:val="AllowPageBreak"/>
      </w:pPr>
    </w:p>
    <w:p w:rsidR="00000000" w:rsidRPr="003C1D95" w:rsidP="003C1D95">
      <w:pPr>
        <w:pStyle w:val="Heading1"/>
      </w:pPr>
      <w:bookmarkStart w:id="2" w:name="O_133504"/>
      <w:bookmarkEnd w:id="2"/>
      <w:r w:rsidRPr="003C1D95">
        <w:t>Unit Descriptor</w:t>
      </w:r>
    </w:p>
    <w:p w:rsidR="00000000" w:rsidRPr="003C1D95" w:rsidP="003C1D95">
      <w:pPr>
        <w:pStyle w:val="BodyText"/>
      </w:pPr>
      <w:r w:rsidRPr="003C1D95">
        <w:t>This unit covers the casting of blast furnaces in the metalliferous mining industry. It includes planning and preparing for casting, c</w:t>
      </w:r>
      <w:r w:rsidRPr="003C1D95">
        <w:t>asing ore and slag, and separating ore and slag. Licensing, legislative, regulatory and certification requirements that apply to this unit can vary between states, territories, and industry sectors. Relevant information must be sourced prior to application</w:t>
      </w:r>
      <w:r w:rsidRPr="003C1D95">
        <w:t xml:space="preserve"> of the unit.</w:t>
      </w:r>
    </w:p>
    <w:p w:rsidR="00000000" w:rsidRPr="003C1D95" w:rsidP="003C1D95">
      <w:pPr>
        <w:pStyle w:val="AllowPageBreak"/>
      </w:pPr>
    </w:p>
    <w:p w:rsidR="00000000" w:rsidRPr="003C1D95" w:rsidP="003C1D95">
      <w:pPr>
        <w:pStyle w:val="Heading1"/>
      </w:pPr>
      <w:bookmarkStart w:id="3" w:name="O_133505"/>
      <w:bookmarkEnd w:id="3"/>
      <w:r w:rsidRPr="003C1D95">
        <w:t>Application of the Unit</w:t>
      </w:r>
    </w:p>
    <w:p w:rsidR="00000000" w:rsidRPr="003C1D95" w:rsidP="003C1D95">
      <w:pPr>
        <w:pStyle w:val="BodyText"/>
      </w:pPr>
      <w:r w:rsidRPr="003C1D95">
        <w:t>This unit is appropriate for those working in an operational role at worksites within:</w:t>
      </w:r>
    </w:p>
    <w:p w:rsidR="00000000" w:rsidRPr="003C1D95" w:rsidP="003C1D95">
      <w:pPr>
        <w:pStyle w:val="ListBullet"/>
      </w:pPr>
      <w:r w:rsidRPr="003C1D95">
        <w:t>Metalliferous mining</w:t>
      </w:r>
    </w:p>
    <w:p w:rsidR="00000000" w:rsidRPr="003C1D95" w:rsidP="003C1D95">
      <w:pPr>
        <w:pStyle w:val="AllowPageBreak"/>
      </w:pPr>
    </w:p>
    <w:p w:rsidR="00000000" w:rsidRPr="003C1D95" w:rsidP="003C1D95">
      <w:pPr>
        <w:pStyle w:val="Heading1"/>
      </w:pPr>
      <w:bookmarkStart w:id="4" w:name="O_133506"/>
      <w:bookmarkEnd w:id="4"/>
      <w:r w:rsidRPr="003C1D95">
        <w:t>Licensing/Regulatory Information</w:t>
      </w:r>
    </w:p>
    <w:p w:rsidR="00000000" w:rsidRPr="003C1D95" w:rsidP="003C1D95">
      <w:pPr>
        <w:pStyle w:val="BodyText"/>
      </w:pPr>
      <w:r w:rsidRPr="003C1D95">
        <w:t>Refer to Unit Descriptor.</w:t>
      </w:r>
    </w:p>
    <w:p w:rsidR="00000000" w:rsidRPr="003C1D95" w:rsidP="003C1D95">
      <w:pPr>
        <w:pStyle w:val="AllowPageBreak"/>
      </w:pPr>
    </w:p>
    <w:p w:rsidR="00000000" w:rsidRPr="003C1D95" w:rsidP="003C1D95">
      <w:pPr>
        <w:pStyle w:val="Heading1"/>
      </w:pPr>
      <w:bookmarkStart w:id="5" w:name="O_133508"/>
      <w:bookmarkEnd w:id="5"/>
      <w:r w:rsidRPr="003C1D95">
        <w:t>Pre-Requisites</w:t>
      </w:r>
    </w:p>
    <w:p w:rsidR="00000000" w:rsidRPr="003C1D95" w:rsidP="003C1D95">
      <w:pPr>
        <w:pStyle w:val="BodyText"/>
      </w:pPr>
      <w:r w:rsidRPr="003C1D95">
        <w:t>Not applicable.</w:t>
      </w:r>
    </w:p>
    <w:p w:rsidR="00000000" w:rsidRPr="003C1D95" w:rsidP="003C1D95">
      <w:pPr>
        <w:pStyle w:val="AllowPageBreak"/>
      </w:pPr>
    </w:p>
    <w:p w:rsidR="00000000" w:rsidRPr="003C1D95" w:rsidP="003C1D95">
      <w:pPr>
        <w:pStyle w:val="Heading1"/>
      </w:pPr>
      <w:bookmarkStart w:id="6" w:name="O_133507"/>
      <w:bookmarkEnd w:id="6"/>
      <w:r w:rsidRPr="003C1D95">
        <w:t>Employability Skills Information</w:t>
      </w:r>
    </w:p>
    <w:p w:rsidR="00000000" w:rsidRPr="003C1D95" w:rsidP="003C1D95">
      <w:pPr>
        <w:pStyle w:val="BodyText"/>
      </w:pPr>
      <w:r w:rsidRPr="003C1D95">
        <w:t>This unit contains employability skills.</w:t>
      </w:r>
    </w:p>
    <w:p w:rsidR="00000000" w:rsidRPr="003C1D95" w:rsidP="003C1D95">
      <w:pPr>
        <w:pStyle w:val="AllowPageBreak"/>
      </w:pPr>
    </w:p>
    <w:p w:rsidR="00000000" w:rsidRPr="003C1D95" w:rsidP="003C1D95">
      <w:pPr>
        <w:pStyle w:val="Heading1"/>
      </w:pPr>
      <w:bookmarkStart w:id="7" w:name="O_133509"/>
      <w:bookmarkEnd w:id="7"/>
      <w:r w:rsidRPr="003C1D95">
        <w:t>Elements and Performance Criteria Pre-Content</w:t>
      </w:r>
    </w:p>
    <w:tbl>
      <w:tblPr>
        <w:tblW w:w="0" w:type="auto"/>
        <w:tblLayout w:type="fixed"/>
        <w:tblCellMar>
          <w:left w:w="62" w:type="dxa"/>
          <w:right w:w="62" w:type="dxa"/>
        </w:tblCellMar>
        <w:tblLook w:val="0000"/>
      </w:tblPr>
      <w:tblGrid>
        <w:gridCol w:w="2562"/>
        <w:gridCol w:w="5960"/>
      </w:tblGrid>
      <w:tr w:rsidTr="006027D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t>Performance criteria describe the performance needed to demonstrate achievement of the element. Where bold italicised text is used, further information is detailed in the required skills and</w:t>
            </w:r>
            <w:r w:rsidRPr="003C1D95">
              <w:t xml:space="preserve"> knowledge section and the range statement. Assessment of performance is to be consistent with the evidence guide.</w:t>
            </w:r>
          </w:p>
        </w:tc>
      </w:tr>
    </w:tbl>
    <w:p w:rsidR="00000000" w:rsidRPr="003C1D95" w:rsidP="003C1D95">
      <w:pPr>
        <w:pStyle w:val="BodyText"/>
      </w:pPr>
    </w:p>
    <w:p w:rsidR="00000000" w:rsidRPr="003C1D95" w:rsidP="003C1D95">
      <w:pPr>
        <w:pStyle w:val="AllowPageBreak"/>
      </w:pPr>
    </w:p>
    <w:p w:rsidR="00000000" w:rsidRPr="003C1D95" w:rsidP="003C1D95">
      <w:pPr>
        <w:pStyle w:val="Heading1"/>
      </w:pPr>
      <w:bookmarkStart w:id="8" w:name="O_133510"/>
      <w:bookmarkEnd w:id="8"/>
      <w:r w:rsidRPr="003C1D95">
        <w:t>Elements and Performance Criteria</w:t>
      </w:r>
    </w:p>
    <w:tbl>
      <w:tblPr>
        <w:tblW w:w="0" w:type="auto"/>
        <w:tblLayout w:type="fixed"/>
        <w:tblCellMar>
          <w:left w:w="62" w:type="dxa"/>
          <w:right w:w="62" w:type="dxa"/>
        </w:tblCellMar>
        <w:tblLook w:val="0000"/>
      </w:tblPr>
      <w:tblGrid>
        <w:gridCol w:w="3471"/>
        <w:gridCol w:w="5051"/>
      </w:tblGrid>
      <w:tr w:rsidTr="006027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PERFORMANCE CRITERIA</w:t>
            </w:r>
          </w:p>
        </w:tc>
      </w:tr>
      <w:tr w:rsidTr="006027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List"/>
              <w:rPr>
                <w:lang w:val="en-NZ"/>
              </w:rPr>
            </w:pPr>
            <w:r w:rsidRPr="003C1D95">
              <w:t>1.</w:t>
            </w:r>
            <w:r w:rsidRPr="003C1D95">
              <w:tab/>
              <w:t>Plan and prepare for casting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2"/>
            </w:pPr>
            <w:r w:rsidRPr="003C1D95">
              <w:t>1.1.</w:t>
            </w:r>
            <w:r w:rsidRPr="003C1D95">
              <w:tab/>
            </w:r>
            <w:r w:rsidRPr="003C1D95">
              <w:t xml:space="preserve">Access, interpret and apply </w:t>
            </w:r>
            <w:r w:rsidRPr="003C1D95">
              <w:rPr>
                <w:rStyle w:val="BoldandItalics"/>
              </w:rPr>
              <w:t>compliance documentation</w:t>
            </w:r>
            <w:r w:rsidRPr="003C1D95">
              <w:t xml:space="preserve"> relevant to the work activity</w:t>
            </w:r>
          </w:p>
          <w:p w:rsidR="00000000" w:rsidRPr="003C1D95" w:rsidP="003C1D95">
            <w:pPr>
              <w:pStyle w:val="List2"/>
            </w:pPr>
            <w:r w:rsidRPr="003C1D95">
              <w:t>1.2.</w:t>
            </w:r>
            <w:r w:rsidRPr="003C1D95">
              <w:tab/>
              <w:t xml:space="preserve">Select </w:t>
            </w:r>
            <w:r w:rsidRPr="003C1D95">
              <w:rPr>
                <w:rStyle w:val="BoldandItalics"/>
              </w:rPr>
              <w:t>personal protective equipment</w:t>
            </w:r>
            <w:r w:rsidRPr="003C1D95">
              <w:t xml:space="preserve"> appropriate for work activities</w:t>
            </w:r>
          </w:p>
          <w:p w:rsidR="00000000" w:rsidRPr="003C1D95" w:rsidP="003C1D95">
            <w:pPr>
              <w:pStyle w:val="List2"/>
            </w:pPr>
            <w:r w:rsidRPr="003C1D95">
              <w:t>1.3.</w:t>
            </w:r>
            <w:r w:rsidRPr="003C1D95">
              <w:tab/>
              <w:t xml:space="preserve">Place and operate all </w:t>
            </w:r>
            <w:r w:rsidRPr="003C1D95">
              <w:rPr>
                <w:rStyle w:val="BoldandItalics"/>
              </w:rPr>
              <w:t>runners</w:t>
            </w:r>
            <w:r w:rsidRPr="003C1D95">
              <w:t>, dams and skimmers correctly</w:t>
            </w:r>
          </w:p>
          <w:p w:rsidR="00000000" w:rsidRPr="003C1D95" w:rsidP="003C1D95">
            <w:pPr>
              <w:pStyle w:val="List2"/>
            </w:pPr>
            <w:r w:rsidRPr="003C1D95">
              <w:t>1.4.</w:t>
            </w:r>
            <w:r w:rsidRPr="003C1D95">
              <w:tab/>
              <w:t xml:space="preserve">Ensure that </w:t>
            </w:r>
            <w:r w:rsidRPr="003C1D95">
              <w:rPr>
                <w:rStyle w:val="BoldandItalics"/>
              </w:rPr>
              <w:t>tools</w:t>
            </w:r>
            <w:r w:rsidRPr="003C1D95">
              <w:t xml:space="preserve"> are at the c</w:t>
            </w:r>
            <w:r w:rsidRPr="003C1D95">
              <w:t>orrect temperature for effective operations</w:t>
            </w:r>
          </w:p>
          <w:p w:rsidR="00000000" w:rsidRPr="003C1D95" w:rsidP="003C1D95">
            <w:pPr>
              <w:pStyle w:val="List2"/>
            </w:pPr>
            <w:r w:rsidRPr="003C1D95">
              <w:t>1.5.</w:t>
            </w:r>
            <w:r w:rsidRPr="003C1D95">
              <w:tab/>
              <w:t xml:space="preserve">Ensure that </w:t>
            </w:r>
            <w:r w:rsidRPr="003C1D95">
              <w:rPr>
                <w:rStyle w:val="BoldandItalics"/>
              </w:rPr>
              <w:t>casting equipment</w:t>
            </w:r>
            <w:r w:rsidRPr="003C1D95">
              <w:t xml:space="preserve"> is ready for correct operation</w:t>
            </w:r>
          </w:p>
          <w:p w:rsidR="00000000" w:rsidP="003C1D95">
            <w:pPr>
              <w:pStyle w:val="List2"/>
              <w:rPr>
                <w:lang w:val="en-NZ"/>
              </w:rPr>
            </w:pPr>
            <w:r w:rsidRPr="003C1D95">
              <w:t>1.6.</w:t>
            </w:r>
            <w:r w:rsidRPr="003C1D95">
              <w:tab/>
              <w:t>Maintain tap hole correctly for efficient operation</w:t>
            </w:r>
          </w:p>
        </w:tc>
      </w:tr>
      <w:tr w:rsidTr="006027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List"/>
              <w:rPr>
                <w:lang w:val="en-NZ"/>
              </w:rPr>
            </w:pPr>
            <w:r w:rsidRPr="003C1D95">
              <w:t>2.</w:t>
            </w:r>
            <w:r w:rsidRPr="003C1D95">
              <w:tab/>
              <w:t>Cast ore and slag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2"/>
            </w:pPr>
            <w:r w:rsidRPr="003C1D95">
              <w:t>2.1.</w:t>
            </w:r>
            <w:r w:rsidRPr="003C1D95">
              <w:tab/>
              <w:t>Follow safe working procedures at all times</w:t>
            </w:r>
          </w:p>
          <w:p w:rsidR="00000000" w:rsidRPr="003C1D95" w:rsidP="003C1D95">
            <w:pPr>
              <w:pStyle w:val="List2"/>
            </w:pPr>
            <w:r w:rsidRPr="003C1D95">
              <w:t>2.2.</w:t>
            </w:r>
            <w:r w:rsidRPr="003C1D95">
              <w:tab/>
            </w:r>
            <w:r w:rsidRPr="003C1D95">
              <w:t>Use appropriate safety clothing and equipment provided</w:t>
            </w:r>
          </w:p>
          <w:p w:rsidR="00000000" w:rsidRPr="003C1D95" w:rsidP="003C1D95">
            <w:pPr>
              <w:pStyle w:val="List2"/>
            </w:pPr>
            <w:r w:rsidRPr="003C1D95">
              <w:t>2.3.</w:t>
            </w:r>
            <w:r w:rsidRPr="003C1D95">
              <w:tab/>
              <w:t xml:space="preserve">Identify, address and report </w:t>
            </w:r>
            <w:r w:rsidRPr="003C1D95">
              <w:rPr>
                <w:rStyle w:val="BoldandItalics"/>
              </w:rPr>
              <w:t>environmental issues</w:t>
            </w:r>
          </w:p>
          <w:p w:rsidR="00000000" w:rsidRPr="003C1D95" w:rsidP="003C1D95">
            <w:pPr>
              <w:pStyle w:val="List2"/>
            </w:pPr>
            <w:r w:rsidRPr="003C1D95">
              <w:t>2.4.</w:t>
            </w:r>
            <w:r w:rsidRPr="003C1D95">
              <w:tab/>
              <w:t xml:space="preserve">Drain runners after cast as required </w:t>
            </w:r>
          </w:p>
          <w:p w:rsidR="00000000" w:rsidRPr="003C1D95" w:rsidP="003C1D95">
            <w:pPr>
              <w:pStyle w:val="List2"/>
            </w:pPr>
            <w:r w:rsidRPr="003C1D95">
              <w:t>2.5.</w:t>
            </w:r>
            <w:r w:rsidRPr="003C1D95">
              <w:tab/>
              <w:t xml:space="preserve">Safely and correctly complete off blast activities </w:t>
            </w:r>
          </w:p>
          <w:p w:rsidR="00000000" w:rsidRPr="003C1D95" w:rsidP="003C1D95">
            <w:pPr>
              <w:pStyle w:val="List2"/>
            </w:pPr>
            <w:r w:rsidRPr="003C1D95">
              <w:t>2.6.</w:t>
            </w:r>
            <w:r w:rsidRPr="003C1D95">
              <w:tab/>
              <w:t xml:space="preserve">Correctly secure and plug the tap hole </w:t>
            </w:r>
          </w:p>
          <w:p w:rsidR="00000000" w:rsidRPr="003C1D95" w:rsidP="003C1D95">
            <w:pPr>
              <w:pStyle w:val="List2"/>
            </w:pPr>
            <w:r w:rsidRPr="003C1D95">
              <w:t>2</w:t>
            </w:r>
            <w:r w:rsidRPr="003C1D95">
              <w:t>.7.</w:t>
            </w:r>
            <w:r w:rsidRPr="003C1D95">
              <w:tab/>
              <w:t>Ensure that only iron enters the iron receiving vessel</w:t>
            </w:r>
          </w:p>
          <w:p w:rsidR="00000000" w:rsidRPr="003C1D95" w:rsidP="003C1D95">
            <w:pPr>
              <w:pStyle w:val="List2"/>
            </w:pPr>
            <w:r w:rsidRPr="003C1D95">
              <w:t>2.8.</w:t>
            </w:r>
            <w:r w:rsidRPr="003C1D95">
              <w:tab/>
              <w:t>Correctly open and keep the tap hole clear during cast</w:t>
            </w:r>
          </w:p>
          <w:p w:rsidR="00000000" w:rsidRPr="003C1D95" w:rsidP="003C1D95">
            <w:pPr>
              <w:pStyle w:val="List2"/>
            </w:pPr>
            <w:r w:rsidRPr="003C1D95">
              <w:t>2.9.</w:t>
            </w:r>
            <w:r w:rsidRPr="003C1D95">
              <w:tab/>
              <w:t xml:space="preserve">Operate correct </w:t>
            </w:r>
            <w:r w:rsidRPr="003C1D95">
              <w:rPr>
                <w:rStyle w:val="BoldandItalics"/>
              </w:rPr>
              <w:t>warnings</w:t>
            </w:r>
            <w:r w:rsidRPr="003C1D95">
              <w:t xml:space="preserve"> when instructed to activate item</w:t>
            </w:r>
          </w:p>
          <w:p w:rsidR="00000000" w:rsidP="003C1D95">
            <w:pPr>
              <w:pStyle w:val="List2"/>
              <w:rPr>
                <w:lang w:val="en-NZ"/>
              </w:rPr>
            </w:pPr>
            <w:r w:rsidRPr="003C1D95">
              <w:t>2.10.</w:t>
            </w:r>
            <w:r w:rsidRPr="003C1D95">
              <w:tab/>
              <w:t>Ensure fume extraction and indicator lights, when under front side c</w:t>
            </w:r>
            <w:r w:rsidRPr="003C1D95">
              <w:t>ontrol, are operating efficiently</w:t>
            </w:r>
          </w:p>
        </w:tc>
      </w:tr>
      <w:tr w:rsidTr="006027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List"/>
              <w:rPr>
                <w:lang w:val="en-NZ"/>
              </w:rPr>
            </w:pPr>
            <w:r w:rsidRPr="003C1D95">
              <w:t>3.</w:t>
            </w:r>
            <w:r w:rsidRPr="003C1D95">
              <w:tab/>
              <w:t>Separate ore and slag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2"/>
            </w:pPr>
            <w:r w:rsidRPr="003C1D95">
              <w:t>3.1.</w:t>
            </w:r>
            <w:r w:rsidRPr="003C1D95">
              <w:tab/>
              <w:t>Follow safe working procedures at all times</w:t>
            </w:r>
          </w:p>
          <w:p w:rsidR="00000000" w:rsidRPr="003C1D95" w:rsidP="003C1D95">
            <w:pPr>
              <w:pStyle w:val="List2"/>
            </w:pPr>
            <w:r w:rsidRPr="003C1D95">
              <w:t>3.2.</w:t>
            </w:r>
            <w:r w:rsidRPr="003C1D95">
              <w:tab/>
              <w:t>Use appropriate safety clothing and equipment provided</w:t>
            </w:r>
          </w:p>
          <w:p w:rsidR="00000000" w:rsidRPr="003C1D95" w:rsidP="003C1D95">
            <w:pPr>
              <w:pStyle w:val="List2"/>
            </w:pPr>
            <w:r w:rsidRPr="003C1D95">
              <w:t>3.3.</w:t>
            </w:r>
            <w:r w:rsidRPr="003C1D95">
              <w:tab/>
              <w:t>Segregate slag according to retained ore proportion and direct accordingly</w:t>
            </w:r>
          </w:p>
          <w:p w:rsidR="00000000" w:rsidRPr="003C1D95" w:rsidP="003C1D95">
            <w:pPr>
              <w:pStyle w:val="List2"/>
            </w:pPr>
            <w:r w:rsidRPr="003C1D95">
              <w:t>3.4.</w:t>
            </w:r>
            <w:r w:rsidRPr="003C1D95">
              <w:tab/>
            </w:r>
            <w:r w:rsidRPr="003C1D95">
              <w:t>Contain slag flows within the runner system to minimise damage and spillage</w:t>
            </w:r>
          </w:p>
          <w:p w:rsidR="00000000" w:rsidRPr="003C1D95" w:rsidP="003C1D95">
            <w:pPr>
              <w:pStyle w:val="List2"/>
            </w:pPr>
            <w:r w:rsidRPr="003C1D95">
              <w:t>3.5.</w:t>
            </w:r>
            <w:r w:rsidRPr="003C1D95">
              <w:tab/>
              <w:t>Ensure that tools are at the correct temperature throughout to reduce the risk of explosion</w:t>
            </w:r>
          </w:p>
          <w:p w:rsidR="00000000" w:rsidRPr="003C1D95" w:rsidP="003C1D95">
            <w:pPr>
              <w:pStyle w:val="List2"/>
            </w:pPr>
            <w:r w:rsidRPr="003C1D95">
              <w:t>3.6.</w:t>
            </w:r>
            <w:r w:rsidRPr="003C1D95">
              <w:tab/>
              <w:t>Correctly maintain runner system to ensure casting proceeds to specification</w:t>
            </w:r>
          </w:p>
        </w:tc>
      </w:tr>
    </w:tbl>
    <w:p w:rsidR="00000000" w:rsidRPr="003C1D95" w:rsidP="003C1D95">
      <w:pPr>
        <w:pStyle w:val="BodyText"/>
      </w:pPr>
    </w:p>
    <w:p w:rsidR="00000000" w:rsidRPr="003C1D95" w:rsidP="003C1D95">
      <w:pPr>
        <w:pStyle w:val="AllowPageBreak"/>
      </w:pPr>
    </w:p>
    <w:p w:rsidR="00000000" w:rsidRPr="003C1D95" w:rsidP="003C1D95">
      <w:pPr>
        <w:pStyle w:val="Heading1"/>
      </w:pPr>
      <w:bookmarkStart w:id="9" w:name="O_133511"/>
      <w:bookmarkEnd w:id="9"/>
      <w:r w:rsidRPr="003C1D95">
        <w:t>Required Skills and Knowledge</w:t>
      </w:r>
    </w:p>
    <w:tbl>
      <w:tblPr>
        <w:tblW w:w="0" w:type="auto"/>
        <w:tblLayout w:type="fixed"/>
        <w:tblCellMar>
          <w:left w:w="62" w:type="dxa"/>
          <w:right w:w="62" w:type="dxa"/>
        </w:tblCellMar>
        <w:tblLook w:val="0000"/>
      </w:tblPr>
      <w:tblGrid>
        <w:gridCol w:w="8522"/>
      </w:tblGrid>
      <w:tr w:rsidTr="00602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t>This section describes the skills and knowledge required for this unit.</w:t>
            </w:r>
          </w:p>
        </w:tc>
      </w:tr>
      <w:tr w:rsidTr="00602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Required skills</w:t>
            </w:r>
          </w:p>
        </w:tc>
      </w:tr>
      <w:tr w:rsidTr="00602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t>Specific skills are required to achieve the Performance Criteria of this unit, particularly for its application in the</w:t>
            </w:r>
            <w:r w:rsidRPr="003C1D95">
              <w:t xml:space="preserve"> various circumstances in which this unit may be used. This includes the ability to carry out the following, as required to cast a blast furnace:</w:t>
            </w:r>
          </w:p>
          <w:p w:rsidR="00000000" w:rsidRPr="003C1D95" w:rsidP="003C1D95">
            <w:pPr>
              <w:pStyle w:val="ListBullet"/>
            </w:pPr>
            <w:r w:rsidRPr="003C1D95">
              <w:t>apply legislative, organisation and site requirements and procedures for casting a blast furnace</w:t>
            </w:r>
          </w:p>
          <w:p w:rsidR="00000000" w:rsidRPr="003C1D95" w:rsidP="003C1D95">
            <w:pPr>
              <w:pStyle w:val="ListBullet"/>
            </w:pPr>
            <w:r w:rsidRPr="003C1D95">
              <w:t>apply precautions necessary for safe working</w:t>
            </w:r>
          </w:p>
          <w:p w:rsidR="00000000" w:rsidRPr="003C1D95" w:rsidP="003C1D95">
            <w:pPr>
              <w:pStyle w:val="ListBullet"/>
            </w:pPr>
            <w:r w:rsidRPr="003C1D95">
              <w:t>use protective clothing and equipment</w:t>
            </w:r>
          </w:p>
          <w:p w:rsidR="00000000" w:rsidRPr="003C1D95" w:rsidP="003C1D95">
            <w:pPr>
              <w:pStyle w:val="ListBullet"/>
            </w:pPr>
            <w:r w:rsidRPr="003C1D95">
              <w:t>apply operating procedures</w:t>
            </w:r>
          </w:p>
          <w:p w:rsidR="00000000" w:rsidRPr="003C1D95" w:rsidP="003C1D95">
            <w:pPr>
              <w:pStyle w:val="ListBullet"/>
            </w:pPr>
            <w:r w:rsidRPr="003C1D95">
              <w:t>report faults</w:t>
            </w:r>
          </w:p>
          <w:p w:rsidR="00000000" w:rsidRPr="003C1D95" w:rsidP="003C1D95">
            <w:pPr>
              <w:pStyle w:val="ListBullet"/>
            </w:pPr>
            <w:r w:rsidRPr="003C1D95">
              <w:t>recognise limits of authority</w:t>
            </w:r>
          </w:p>
          <w:p w:rsidR="00000000" w:rsidRPr="003C1D95" w:rsidP="003C1D95">
            <w:pPr>
              <w:pStyle w:val="ListBullet"/>
            </w:pPr>
            <w:r w:rsidRPr="003C1D95">
              <w:t>apply team working practices</w:t>
            </w:r>
          </w:p>
          <w:p w:rsidR="00000000" w:rsidRPr="003C1D95" w:rsidP="003C1D95">
            <w:pPr>
              <w:pStyle w:val="ListBullet"/>
            </w:pPr>
            <w:r w:rsidRPr="003C1D95">
              <w:t xml:space="preserve">communicate information </w:t>
            </w:r>
          </w:p>
          <w:p w:rsidR="00000000" w:rsidP="003C1D95">
            <w:pPr>
              <w:pStyle w:val="ListBullet"/>
              <w:rPr>
                <w:lang w:val="en-NZ"/>
              </w:rPr>
            </w:pPr>
            <w:r w:rsidRPr="003C1D95">
              <w:t>use hand and power tools</w:t>
            </w:r>
          </w:p>
        </w:tc>
      </w:tr>
      <w:tr w:rsidTr="00602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Required knowledge</w:t>
            </w:r>
          </w:p>
        </w:tc>
      </w:tr>
      <w:tr w:rsidTr="00602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t>Sp</w:t>
            </w:r>
            <w:r w:rsidRPr="003C1D95">
              <w:t>ecific knowledge is required to achieve the Performance Criteria of this unit, particularly for its application in the various circumstances in which this unit may be used. This includes knowledge of the following, as required to cast a blast furnace:</w:t>
            </w:r>
          </w:p>
          <w:p w:rsidR="00000000" w:rsidRPr="003C1D95" w:rsidP="003C1D95">
            <w:pPr>
              <w:pStyle w:val="ListBullet"/>
            </w:pPr>
            <w:r w:rsidRPr="003C1D95">
              <w:t>pre</w:t>
            </w:r>
            <w:r w:rsidRPr="003C1D95">
              <w:t>paring a cast</w:t>
            </w:r>
          </w:p>
          <w:p w:rsidR="00000000" w:rsidRPr="003C1D95" w:rsidP="003C1D95">
            <w:pPr>
              <w:pStyle w:val="ListBullet"/>
            </w:pPr>
            <w:r w:rsidRPr="003C1D95">
              <w:t>opening and plugging of tap hole</w:t>
            </w:r>
          </w:p>
          <w:p w:rsidR="00000000" w:rsidRPr="003C1D95" w:rsidP="003C1D95">
            <w:pPr>
              <w:pStyle w:val="ListBullet"/>
            </w:pPr>
            <w:r w:rsidRPr="003C1D95">
              <w:t>off blast activities</w:t>
            </w:r>
          </w:p>
          <w:p w:rsidR="00000000" w:rsidRPr="003C1D95" w:rsidP="003C1D95">
            <w:pPr>
              <w:pStyle w:val="ListBullet"/>
            </w:pPr>
            <w:r w:rsidRPr="003C1D95">
              <w:t>separating slag</w:t>
            </w:r>
          </w:p>
          <w:p w:rsidR="00000000" w:rsidRPr="003C1D95" w:rsidP="003C1D95">
            <w:pPr>
              <w:pStyle w:val="ListBullet"/>
            </w:pPr>
            <w:r w:rsidRPr="003C1D95">
              <w:t>dealing with hazards</w:t>
            </w:r>
          </w:p>
          <w:p w:rsidR="00000000" w:rsidRPr="003C1D95" w:rsidP="003C1D95">
            <w:pPr>
              <w:pStyle w:val="ListBullet"/>
            </w:pPr>
            <w:r w:rsidRPr="003C1D95">
              <w:t>communication within work group</w:t>
            </w:r>
          </w:p>
          <w:p w:rsidR="00000000" w:rsidRPr="003C1D95" w:rsidP="003C1D95">
            <w:pPr>
              <w:pStyle w:val="ListBullet"/>
            </w:pPr>
            <w:r w:rsidRPr="003C1D95">
              <w:t>reporting of faults and variances</w:t>
            </w:r>
          </w:p>
          <w:p w:rsidR="00000000" w:rsidRPr="003C1D95" w:rsidP="003C1D95">
            <w:pPr>
              <w:pStyle w:val="ListBullet"/>
            </w:pPr>
            <w:r w:rsidRPr="003C1D95">
              <w:t>productive teams</w:t>
            </w:r>
          </w:p>
          <w:p w:rsidR="00000000" w:rsidRPr="003C1D95" w:rsidP="003C1D95">
            <w:pPr>
              <w:pStyle w:val="ListBullet"/>
            </w:pPr>
            <w:r w:rsidRPr="003C1D95">
              <w:t>safe working</w:t>
            </w:r>
          </w:p>
        </w:tc>
      </w:tr>
    </w:tbl>
    <w:p w:rsidR="00000000" w:rsidRPr="003C1D95" w:rsidP="003C1D95">
      <w:pPr>
        <w:pStyle w:val="BodyText"/>
      </w:pPr>
    </w:p>
    <w:p w:rsidR="00000000" w:rsidRPr="003C1D95" w:rsidP="003C1D95">
      <w:pPr>
        <w:pStyle w:val="AllowPageBreak"/>
      </w:pPr>
    </w:p>
    <w:p w:rsidR="00000000" w:rsidRPr="003C1D95" w:rsidP="003C1D95">
      <w:pPr>
        <w:pStyle w:val="Heading1"/>
      </w:pPr>
      <w:bookmarkStart w:id="10" w:name="O_133512"/>
      <w:bookmarkEnd w:id="10"/>
      <w:r w:rsidRPr="003C1D95">
        <w:t>Evidence Guide</w:t>
      </w:r>
    </w:p>
    <w:tbl>
      <w:tblPr>
        <w:tblW w:w="0" w:type="auto"/>
        <w:tblLayout w:type="fixed"/>
        <w:tblCellMar>
          <w:left w:w="62" w:type="dxa"/>
          <w:right w:w="62" w:type="dxa"/>
        </w:tblCellMar>
        <w:tblLook w:val="0000"/>
      </w:tblPr>
      <w:tblGrid>
        <w:gridCol w:w="3448"/>
        <w:gridCol w:w="5074"/>
      </w:tblGrid>
      <w:tr w:rsidTr="006027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t>The evidence guide provides advice on assessment and must be read in conjunction with the performance criteria, required skills and knowledge, range statement and the Assessment Guidelines for the Training Package.</w:t>
            </w:r>
          </w:p>
        </w:tc>
      </w:tr>
      <w:tr w:rsidTr="006027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p>
        </w:tc>
      </w:tr>
      <w:tr w:rsidTr="006027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t>The evidence required to demonstrate competency in this unit must be relevant to worksite operations and satisfy all of the requirements of the performance criteri</w:t>
            </w:r>
            <w:r w:rsidRPr="003C1D95">
              <w:t>a, required skills and knowledge and the range statement of this unit and include evidence of the following:</w:t>
            </w:r>
          </w:p>
          <w:p w:rsidR="00000000" w:rsidRPr="003C1D95" w:rsidP="003C1D95">
            <w:pPr>
              <w:pStyle w:val="ListBullet"/>
            </w:pPr>
            <w:r w:rsidRPr="003C1D95">
              <w:t>knowledge of the requirements, procedures and instructions for casting a blast furnace</w:t>
            </w:r>
          </w:p>
          <w:p w:rsidR="00000000" w:rsidRPr="003C1D95" w:rsidP="003C1D95">
            <w:pPr>
              <w:pStyle w:val="ListBullet"/>
            </w:pPr>
            <w:r w:rsidRPr="003C1D95">
              <w:t>implementation of requirements, procedures and techniques f</w:t>
            </w:r>
            <w:r w:rsidRPr="003C1D95">
              <w:t>or the safe, effective and efficient completion of blast furnace casting</w:t>
            </w:r>
          </w:p>
          <w:p w:rsidR="00000000" w:rsidRPr="003C1D95" w:rsidP="003C1D95">
            <w:pPr>
              <w:pStyle w:val="ListBullet"/>
            </w:pPr>
            <w:r w:rsidRPr="003C1D95">
              <w:t>working with others to undertake and complete the blast furnace casting in a way that meets all of the required outcomes</w:t>
            </w:r>
          </w:p>
          <w:p w:rsidR="00000000" w:rsidP="003C1D95">
            <w:pPr>
              <w:pStyle w:val="ListBullet"/>
              <w:rPr>
                <w:lang w:val="en-NZ"/>
              </w:rPr>
            </w:pPr>
            <w:r w:rsidRPr="003C1D95">
              <w:t>consistent timely completion of blast furnace casting that saf</w:t>
            </w:r>
            <w:r w:rsidRPr="003C1D95">
              <w:t>ely, effectively and efficiently meets the required outcomes</w:t>
            </w:r>
          </w:p>
        </w:tc>
      </w:tr>
      <w:tr w:rsidTr="006027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 xml:space="preserve">This unit must be assessed in the context of the work environment. Where personal </w:t>
            </w:r>
            <w:r w:rsidRPr="003C1D95">
              <w:t>safety or environmental damage are limiting factors, assessment may occur in a simulated environment provided it is realistic and sufficiently rigorous to cover all aspects of workplace performance, including task skills, task management skills, contingenc</w:t>
            </w:r>
            <w:r w:rsidRPr="003C1D95">
              <w:t xml:space="preserve">y management skills and job role environment skills. </w:t>
            </w:r>
          </w:p>
          <w:p w:rsidR="00000000" w:rsidRPr="003C1D95" w:rsidP="003C1D95">
            <w:pPr>
              <w:pStyle w:val="ListBullet"/>
            </w:pPr>
            <w:r w:rsidRPr="003C1D95">
              <w:t>Assessment of this competency requires typical resources normally used in a resources and infrastructure sector environment. Selection and use of resources for particular worksites may differ due to the</w:t>
            </w:r>
            <w:r w:rsidRPr="003C1D95">
              <w:t xml:space="preserve"> site circumstances.</w:t>
            </w:r>
          </w:p>
          <w:p w:rsidR="00000000" w:rsidRPr="003C1D95" w:rsidP="003C1D95">
            <w:pPr>
              <w:pStyle w:val="ListBullet"/>
            </w:pPr>
            <w:r w:rsidRPr="003C1D95">
              <w:t>The assessment environment should not disadvantage the participant. For example, language, literacy and numeracy demands of assessment should not be greater than those required on the job.</w:t>
            </w:r>
          </w:p>
          <w:p w:rsidR="00000000" w:rsidRPr="003C1D95" w:rsidP="003C1D95">
            <w:pPr>
              <w:pStyle w:val="ListBullet"/>
            </w:pPr>
            <w:r w:rsidRPr="003C1D95">
              <w:t>Customisation of assessment and delivery envir</w:t>
            </w:r>
            <w:r w:rsidRPr="003C1D95">
              <w:t>onment to sensitively accommodate cultural diversity.</w:t>
            </w:r>
          </w:p>
          <w:p w:rsidR="00000000" w:rsidRPr="003C1D95" w:rsidP="003C1D95">
            <w:pPr>
              <w:pStyle w:val="ListBullet"/>
            </w:pPr>
            <w:r w:rsidRPr="003C1D95">
              <w:t>Aboriginal people and other people from a non English speaking background may have second language issues.</w:t>
            </w:r>
          </w:p>
          <w:p w:rsidR="00000000" w:rsidP="003C1D95">
            <w:pPr>
              <w:pStyle w:val="ListBullet"/>
              <w:rPr>
                <w:lang w:val="en-NZ"/>
              </w:rPr>
            </w:pPr>
            <w:r w:rsidRPr="003C1D95">
              <w:t>Where applicable, physical resources should include equipment modified for people with disabili</w:t>
            </w:r>
            <w:r w:rsidRPr="003C1D95">
              <w:t>ties. Access must be provided to appropriate learning and/or assessment support when required.</w:t>
            </w:r>
          </w:p>
        </w:tc>
      </w:tr>
      <w:tr w:rsidTr="006027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t>This unit may be assessed in a holistic way with other units of competency.  The assessment strategy for this unit must verify required kno</w:t>
            </w:r>
            <w:r w:rsidRPr="003C1D95">
              <w:t xml:space="preserve">wledge and skill and practical application using more than one of the following assessment methods: </w:t>
            </w:r>
          </w:p>
          <w:p w:rsidR="00000000" w:rsidRPr="003C1D95" w:rsidP="003C1D95">
            <w:pPr>
              <w:pStyle w:val="ListBullet"/>
            </w:pPr>
            <w:r w:rsidRPr="003C1D95">
              <w:t>written and/or oral assessment of the candidate's required knowledge</w:t>
            </w:r>
          </w:p>
          <w:p w:rsidR="00000000" w:rsidRPr="003C1D95" w:rsidP="003C1D95">
            <w:pPr>
              <w:pStyle w:val="ListBullet"/>
            </w:pPr>
            <w:r w:rsidRPr="003C1D95">
              <w:t>observed, documented and/or first hand testimonial evidence of the candidate's:</w:t>
            </w:r>
          </w:p>
          <w:p w:rsidR="00000000" w:rsidRPr="003C1D95" w:rsidP="003C1D95">
            <w:pPr>
              <w:pStyle w:val="ListBullet2"/>
            </w:pPr>
            <w:r w:rsidRPr="003C1D95">
              <w:t>impl</w:t>
            </w:r>
            <w:r w:rsidRPr="003C1D95">
              <w:t>ementation of appropriate requirement, procedures and techniques for the safe, effective and efficient achievement of required outcomes</w:t>
            </w:r>
          </w:p>
          <w:p w:rsidR="00000000" w:rsidRPr="003C1D95" w:rsidP="003C1D95">
            <w:pPr>
              <w:pStyle w:val="ListBullet2"/>
            </w:pPr>
            <w:r w:rsidRPr="003C1D95">
              <w:t>consistent achievement of required outcomes</w:t>
            </w:r>
          </w:p>
          <w:p w:rsidR="00000000" w:rsidRPr="003C1D95" w:rsidP="003C1D95">
            <w:pPr>
              <w:pStyle w:val="ListBullet"/>
            </w:pPr>
            <w:r w:rsidRPr="003C1D95">
              <w:t>first hand testimonial evidence of the candidate's:</w:t>
            </w:r>
          </w:p>
          <w:p w:rsidR="00000000" w:rsidP="003C1D95">
            <w:pPr>
              <w:pStyle w:val="ListBullet2"/>
              <w:rPr>
                <w:lang w:val="en-NZ"/>
              </w:rPr>
            </w:pPr>
            <w:r w:rsidRPr="003C1D95">
              <w:t>working with others to undertake and complete the blast furnace casting</w:t>
            </w:r>
          </w:p>
        </w:tc>
      </w:tr>
      <w:tr w:rsidTr="006027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BodyText"/>
            </w:pPr>
            <w:r w:rsidRPr="003C1D95">
              <w:t>Consult the SkillsDMC User Guide for further information on assessment including access and equity issues.</w:t>
            </w:r>
          </w:p>
        </w:tc>
      </w:tr>
    </w:tbl>
    <w:p w:rsidR="00000000" w:rsidRPr="003C1D95" w:rsidP="003C1D95">
      <w:pPr>
        <w:pStyle w:val="BodyText"/>
      </w:pPr>
    </w:p>
    <w:p w:rsidR="00000000" w:rsidRPr="003C1D95" w:rsidP="003C1D95">
      <w:pPr>
        <w:pStyle w:val="AllowPageBreak"/>
      </w:pPr>
    </w:p>
    <w:p w:rsidR="00000000" w:rsidRPr="003C1D95" w:rsidP="003C1D95">
      <w:pPr>
        <w:pStyle w:val="Heading1"/>
      </w:pPr>
      <w:bookmarkStart w:id="11" w:name="O_133513"/>
      <w:bookmarkEnd w:id="11"/>
      <w:r w:rsidRPr="003C1D95">
        <w:t>Range Statement</w:t>
      </w:r>
    </w:p>
    <w:tbl>
      <w:tblPr>
        <w:tblW w:w="0" w:type="auto"/>
        <w:tblLayout w:type="fixed"/>
        <w:tblCellMar>
          <w:left w:w="62" w:type="dxa"/>
          <w:right w:w="62" w:type="dxa"/>
        </w:tblCellMar>
        <w:tblLook w:val="0000"/>
      </w:tblPr>
      <w:tblGrid>
        <w:gridCol w:w="3800"/>
        <w:gridCol w:w="4722"/>
      </w:tblGrid>
      <w:tr w:rsidTr="006027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t>The range statement relates to the unit of competency as a whole. It allows for different work environments and situations that may affect performance. Bold italicised wording, if used in the performance criteria, is detailed below. Essential operating con</w:t>
            </w:r>
            <w:r w:rsidRPr="003C1D95">
              <w:t>ditions that may be present with training and assessment (depending on the work situation, needs of the candidate, accessibility of the item, and local industry and regional contexts) may also be included.</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Relevant compliance documentation</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legislative, organisational and site requirements and procedures</w:t>
            </w:r>
          </w:p>
          <w:p w:rsidR="00000000" w:rsidRPr="003C1D95" w:rsidP="003C1D95">
            <w:pPr>
              <w:pStyle w:val="ListBullet"/>
            </w:pPr>
            <w:r w:rsidRPr="003C1D95">
              <w:t>manufacturer's guidelines and specifications</w:t>
            </w:r>
          </w:p>
          <w:p w:rsidR="00000000" w:rsidRPr="003C1D95" w:rsidP="003C1D95">
            <w:pPr>
              <w:pStyle w:val="ListBullet"/>
            </w:pPr>
            <w:r w:rsidRPr="003C1D95">
              <w:t>Australian standards</w:t>
            </w:r>
          </w:p>
          <w:p w:rsidR="00000000" w:rsidRPr="003C1D95" w:rsidP="003C1D95">
            <w:pPr>
              <w:pStyle w:val="ListBullet"/>
            </w:pPr>
            <w:r w:rsidRPr="003C1D95">
              <w:t>Employment and workplace relations legislation</w:t>
            </w:r>
          </w:p>
          <w:p w:rsidR="00000000" w:rsidP="003C1D95">
            <w:pPr>
              <w:pStyle w:val="ListBullet"/>
              <w:rPr>
                <w:lang w:val="en-NZ"/>
              </w:rPr>
            </w:pPr>
            <w:r w:rsidRPr="003C1D95">
              <w:t>Equal Employment Opportunity and Disability Discrimination legislation</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Legislation</w:t>
            </w:r>
            <w:r w:rsidRPr="003C1D95">
              <w:t xml:space="preserve"> may include Acts and regulations dealing with:</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mining safety and health</w:t>
            </w:r>
          </w:p>
          <w:p w:rsidR="00000000" w:rsidRPr="003C1D95" w:rsidP="003C1D95">
            <w:pPr>
              <w:pStyle w:val="ListBullet"/>
            </w:pPr>
            <w:r w:rsidRPr="003C1D95">
              <w:t>mine inspection</w:t>
            </w:r>
          </w:p>
          <w:p w:rsidR="00000000" w:rsidRPr="003C1D95" w:rsidP="003C1D95">
            <w:pPr>
              <w:pStyle w:val="ListBullet"/>
            </w:pPr>
            <w:r w:rsidRPr="003C1D95">
              <w:t>OHS</w:t>
            </w:r>
          </w:p>
          <w:p w:rsidR="00000000" w:rsidRPr="003C1D95" w:rsidP="003C1D95">
            <w:pPr>
              <w:pStyle w:val="ListBullet"/>
            </w:pPr>
            <w:r w:rsidRPr="003C1D95">
              <w:t>explosives</w:t>
            </w:r>
          </w:p>
          <w:p w:rsidR="00000000" w:rsidP="003C1D95">
            <w:pPr>
              <w:pStyle w:val="ListBullet"/>
              <w:rPr>
                <w:lang w:val="en-NZ"/>
              </w:rPr>
            </w:pPr>
            <w:r w:rsidRPr="003C1D95">
              <w:t>environment</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Personal protective equipment</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helmet</w:t>
            </w:r>
          </w:p>
          <w:p w:rsidR="00000000" w:rsidRPr="003C1D95" w:rsidP="003C1D95">
            <w:pPr>
              <w:pStyle w:val="ListBullet"/>
            </w:pPr>
            <w:r w:rsidRPr="003C1D95">
              <w:t>eye/face protection</w:t>
            </w:r>
          </w:p>
          <w:p w:rsidR="00000000" w:rsidRPr="003C1D95" w:rsidP="003C1D95">
            <w:pPr>
              <w:pStyle w:val="ListBullet"/>
            </w:pPr>
            <w:r w:rsidRPr="003C1D95">
              <w:t>respiratory protection</w:t>
            </w:r>
          </w:p>
          <w:p w:rsidR="00000000" w:rsidRPr="003C1D95" w:rsidP="003C1D95">
            <w:pPr>
              <w:pStyle w:val="ListBullet"/>
            </w:pPr>
            <w:r w:rsidRPr="003C1D95">
              <w:t>heat resistant clothing</w:t>
            </w:r>
          </w:p>
          <w:p w:rsidR="00000000" w:rsidRPr="003C1D95" w:rsidP="003C1D95">
            <w:pPr>
              <w:pStyle w:val="ListBullet"/>
            </w:pPr>
            <w:r w:rsidRPr="003C1D95">
              <w:t>gloves</w:t>
            </w:r>
          </w:p>
          <w:p w:rsidR="00000000" w:rsidRPr="003C1D95" w:rsidP="003C1D95">
            <w:pPr>
              <w:pStyle w:val="ListBullet"/>
            </w:pPr>
            <w:r w:rsidRPr="003C1D95">
              <w:t>hearing protection</w:t>
            </w:r>
          </w:p>
          <w:p w:rsidR="00000000" w:rsidP="003C1D95">
            <w:pPr>
              <w:pStyle w:val="ListBullet"/>
              <w:rPr>
                <w:lang w:val="en-NZ"/>
              </w:rPr>
            </w:pPr>
            <w:r w:rsidRPr="003C1D95">
              <w:t>safety footwear</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Runners</w:t>
            </w:r>
            <w:r w:rsidRPr="003C1D95">
              <w:t xml:space="preserve"> systems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dams</w:t>
            </w:r>
          </w:p>
          <w:p w:rsidR="00000000" w:rsidRPr="003C1D95" w:rsidP="003C1D95">
            <w:pPr>
              <w:pStyle w:val="ListBullet"/>
            </w:pPr>
            <w:r w:rsidRPr="003C1D95">
              <w:t>skimmers</w:t>
            </w:r>
          </w:p>
          <w:p w:rsidR="00000000" w:rsidP="003C1D95">
            <w:pPr>
              <w:pStyle w:val="ListBullet"/>
              <w:rPr>
                <w:lang w:val="en-NZ"/>
              </w:rPr>
            </w:pPr>
            <w:r w:rsidRPr="003C1D95">
              <w:t>tilters</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Tools</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chisel bars</w:t>
            </w:r>
          </w:p>
          <w:p w:rsidR="00000000" w:rsidRPr="003C1D95" w:rsidP="003C1D95">
            <w:pPr>
              <w:pStyle w:val="ListBullet"/>
            </w:pPr>
            <w:r w:rsidRPr="003C1D95">
              <w:t>shovels</w:t>
            </w:r>
          </w:p>
          <w:p w:rsidR="00000000" w:rsidRPr="003C1D95" w:rsidP="003C1D95">
            <w:pPr>
              <w:pStyle w:val="ListBullet"/>
            </w:pPr>
            <w:r w:rsidRPr="003C1D95">
              <w:t>scrapers</w:t>
            </w:r>
          </w:p>
          <w:p w:rsidR="00000000" w:rsidP="003C1D95">
            <w:pPr>
              <w:pStyle w:val="ListBullet"/>
              <w:rPr>
                <w:lang w:val="en-NZ"/>
              </w:rPr>
            </w:pPr>
            <w:r w:rsidRPr="003C1D95">
              <w:t>rammers</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Casting equipment</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mud gun</w:t>
            </w:r>
          </w:p>
          <w:p w:rsidR="00000000" w:rsidRPr="003C1D95" w:rsidP="003C1D95">
            <w:pPr>
              <w:pStyle w:val="ListBullet"/>
            </w:pPr>
            <w:r w:rsidRPr="003C1D95">
              <w:t>drill</w:t>
            </w:r>
          </w:p>
          <w:p w:rsidR="00000000" w:rsidRPr="003C1D95" w:rsidP="003C1D95">
            <w:pPr>
              <w:pStyle w:val="ListBullet"/>
            </w:pPr>
            <w:r w:rsidRPr="003C1D95">
              <w:t>soaker bar</w:t>
            </w:r>
          </w:p>
          <w:p w:rsidR="00000000" w:rsidP="003C1D95">
            <w:pPr>
              <w:pStyle w:val="ListBullet"/>
              <w:rPr>
                <w:lang w:val="en-NZ"/>
              </w:rPr>
            </w:pPr>
            <w:r w:rsidRPr="003C1D95">
              <w:t>oxygen lance</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Environmental issues</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drainage</w:t>
            </w:r>
          </w:p>
          <w:p w:rsidR="00000000" w:rsidRPr="003C1D95" w:rsidP="003C1D95">
            <w:pPr>
              <w:pStyle w:val="ListBullet"/>
            </w:pPr>
            <w:r w:rsidRPr="003C1D95">
              <w:t>dust</w:t>
            </w:r>
          </w:p>
          <w:p w:rsidR="00000000" w:rsidRPr="003C1D95" w:rsidP="003C1D95">
            <w:pPr>
              <w:pStyle w:val="ListBullet"/>
            </w:pPr>
            <w:r w:rsidRPr="003C1D95">
              <w:t>emissions</w:t>
            </w:r>
          </w:p>
          <w:p w:rsidR="00000000" w:rsidRPr="003C1D95" w:rsidP="003C1D95">
            <w:pPr>
              <w:pStyle w:val="ListBullet"/>
            </w:pPr>
            <w:r w:rsidRPr="003C1D95">
              <w:t>flora and fauna</w:t>
            </w:r>
          </w:p>
          <w:p w:rsidR="00000000" w:rsidRPr="003C1D95" w:rsidP="003C1D95">
            <w:pPr>
              <w:pStyle w:val="ListBullet"/>
            </w:pPr>
            <w:r w:rsidRPr="003C1D95">
              <w:t>hazardous chemicals</w:t>
            </w:r>
          </w:p>
          <w:p w:rsidR="00000000" w:rsidRPr="003C1D95" w:rsidP="003C1D95">
            <w:pPr>
              <w:pStyle w:val="ListBullet"/>
            </w:pPr>
            <w:r w:rsidRPr="003C1D95">
              <w:t>noise</w:t>
            </w:r>
          </w:p>
          <w:p w:rsidR="00000000" w:rsidRPr="003C1D95" w:rsidP="003C1D95">
            <w:pPr>
              <w:pStyle w:val="ListBullet"/>
            </w:pPr>
            <w:r w:rsidRPr="003C1D95">
              <w:t>run-off</w:t>
            </w:r>
          </w:p>
          <w:p w:rsidR="00000000" w:rsidRPr="003C1D95" w:rsidP="003C1D95">
            <w:pPr>
              <w:pStyle w:val="ListBullet"/>
            </w:pPr>
            <w:r w:rsidRPr="003C1D95">
              <w:t>spills</w:t>
            </w:r>
          </w:p>
          <w:p w:rsidR="00000000" w:rsidRPr="003C1D95" w:rsidP="003C1D95">
            <w:pPr>
              <w:pStyle w:val="ListBullet"/>
            </w:pPr>
            <w:r w:rsidRPr="003C1D95">
              <w:t>waste management and disposal</w:t>
            </w:r>
          </w:p>
          <w:p w:rsidR="00000000" w:rsidP="003C1D95">
            <w:pPr>
              <w:pStyle w:val="ListBullet"/>
              <w:rPr>
                <w:lang w:val="en-NZ"/>
              </w:rPr>
            </w:pPr>
            <w:r w:rsidRPr="003C1D95">
              <w:t>water quality</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Warnings</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cast commencing</w:t>
            </w:r>
          </w:p>
          <w:p w:rsidR="00000000" w:rsidRPr="003C1D95" w:rsidP="003C1D95">
            <w:pPr>
              <w:pStyle w:val="ListBullet"/>
            </w:pPr>
            <w:r w:rsidRPr="003C1D95">
              <w:t>receiving vessel movement</w:t>
            </w:r>
          </w:p>
          <w:p w:rsidR="00000000" w:rsidP="003C1D95">
            <w:pPr>
              <w:pStyle w:val="ListBullet"/>
              <w:rPr>
                <w:lang w:val="en-NZ"/>
              </w:rPr>
            </w:pPr>
            <w:r w:rsidRPr="003C1D95">
              <w:t>slag casting</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Non-casting activities</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claying tuyere stocks</w:t>
            </w:r>
          </w:p>
          <w:p w:rsidR="00000000" w:rsidRPr="003C1D95" w:rsidP="003C1D95">
            <w:pPr>
              <w:pStyle w:val="ListBullet"/>
            </w:pPr>
            <w:r w:rsidRPr="003C1D95">
              <w:t>drawing copper</w:t>
            </w:r>
          </w:p>
          <w:p w:rsidR="00000000" w:rsidRPr="003C1D95" w:rsidP="003C1D95">
            <w:pPr>
              <w:pStyle w:val="ListBullet"/>
            </w:pPr>
            <w:r w:rsidRPr="003C1D95">
              <w:t>changing copper cooling elements</w:t>
            </w:r>
          </w:p>
          <w:p w:rsidR="00000000" w:rsidRPr="003C1D95" w:rsidP="003C1D95">
            <w:pPr>
              <w:pStyle w:val="ListBullet"/>
            </w:pPr>
            <w:r w:rsidRPr="003C1D95">
              <w:t>tap hole re-facing</w:t>
            </w:r>
          </w:p>
          <w:p w:rsidR="00000000" w:rsidP="003C1D95">
            <w:pPr>
              <w:pStyle w:val="ListBullet"/>
              <w:rPr>
                <w:lang w:val="en-NZ"/>
              </w:rPr>
            </w:pPr>
            <w:r w:rsidRPr="003C1D95">
              <w:t>changing injecting equipment</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Hazards</w:t>
            </w:r>
            <w:r w:rsidRPr="003C1D95">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rail and road movement</w:t>
            </w:r>
          </w:p>
          <w:p w:rsidR="00000000" w:rsidRPr="003C1D95" w:rsidP="003C1D95">
            <w:pPr>
              <w:pStyle w:val="ListBullet"/>
            </w:pPr>
            <w:r w:rsidRPr="003C1D95">
              <w:t>cranes</w:t>
            </w:r>
          </w:p>
          <w:p w:rsidR="00000000" w:rsidRPr="003C1D95" w:rsidP="003C1D95">
            <w:pPr>
              <w:pStyle w:val="ListBullet"/>
            </w:pPr>
            <w:r w:rsidRPr="003C1D95">
              <w:t>hot materials</w:t>
            </w:r>
          </w:p>
          <w:p w:rsidR="00000000" w:rsidRPr="003C1D95" w:rsidP="003C1D95">
            <w:pPr>
              <w:pStyle w:val="ListBullet"/>
            </w:pPr>
            <w:r w:rsidRPr="003C1D95">
              <w:t>noise</w:t>
            </w:r>
          </w:p>
          <w:p w:rsidR="00000000" w:rsidRPr="003C1D95" w:rsidP="003C1D95">
            <w:pPr>
              <w:pStyle w:val="ListBullet"/>
            </w:pPr>
            <w:r w:rsidRPr="003C1D95">
              <w:t>air pollution</w:t>
            </w:r>
          </w:p>
          <w:p w:rsidR="00000000" w:rsidRPr="003C1D95" w:rsidP="003C1D95">
            <w:pPr>
              <w:pStyle w:val="ListBullet"/>
            </w:pPr>
            <w:r w:rsidRPr="003C1D95">
              <w:t>sharp objects</w:t>
            </w:r>
          </w:p>
          <w:p w:rsidR="00000000" w:rsidRPr="003C1D95" w:rsidP="003C1D95">
            <w:pPr>
              <w:pStyle w:val="ListBullet"/>
            </w:pPr>
            <w:r w:rsidRPr="003C1D95">
              <w:t>moving machinery</w:t>
            </w:r>
          </w:p>
          <w:p w:rsidR="00000000" w:rsidRPr="003C1D95" w:rsidP="003C1D95">
            <w:pPr>
              <w:pStyle w:val="ListBullet"/>
            </w:pPr>
            <w:r w:rsidRPr="003C1D95">
              <w:t>falling</w:t>
            </w:r>
          </w:p>
          <w:p w:rsidR="00000000" w:rsidRPr="003C1D95" w:rsidP="003C1D95">
            <w:pPr>
              <w:pStyle w:val="ListBullet"/>
            </w:pPr>
            <w:r w:rsidRPr="003C1D95">
              <w:t>falling objects</w:t>
            </w:r>
          </w:p>
          <w:p w:rsidR="00000000" w:rsidP="003C1D95">
            <w:pPr>
              <w:pStyle w:val="ListBullet"/>
              <w:rPr>
                <w:lang w:val="en-NZ"/>
              </w:rPr>
            </w:pPr>
            <w:r w:rsidRPr="003C1D95">
              <w:t>gases</w:t>
            </w:r>
          </w:p>
        </w:tc>
      </w:tr>
      <w:tr w:rsidTr="006027D3">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D95">
            <w:pPr>
              <w:pStyle w:val="BodyText"/>
              <w:rPr>
                <w:lang w:val="en-NZ"/>
              </w:rPr>
            </w:pPr>
            <w:r w:rsidRPr="003C1D95">
              <w:rPr>
                <w:rStyle w:val="SpecialBold"/>
              </w:rPr>
              <w:t>Teams may be formal or informal and variances</w:t>
            </w:r>
            <w:r w:rsidRPr="003C1D95">
              <w:t xml:space="preserve"> may occur in:</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D95" w:rsidP="003C1D95">
            <w:pPr>
              <w:pStyle w:val="ListBullet"/>
            </w:pPr>
            <w:r w:rsidRPr="003C1D95">
              <w:t>product</w:t>
            </w:r>
          </w:p>
          <w:p w:rsidR="00000000" w:rsidRPr="003C1D95" w:rsidP="003C1D95">
            <w:pPr>
              <w:pStyle w:val="ListBullet"/>
            </w:pPr>
            <w:r w:rsidRPr="003C1D95">
              <w:t>plant</w:t>
            </w:r>
          </w:p>
          <w:p w:rsidR="00000000" w:rsidRPr="003C1D95" w:rsidP="003C1D95">
            <w:pPr>
              <w:pStyle w:val="ListBullet"/>
            </w:pPr>
            <w:r w:rsidRPr="003C1D95">
              <w:t>equipment</w:t>
            </w:r>
          </w:p>
        </w:tc>
      </w:tr>
    </w:tbl>
    <w:p w:rsidR="00000000" w:rsidRPr="003C1D95" w:rsidP="003C1D95">
      <w:pPr>
        <w:pStyle w:val="BodyText"/>
      </w:pPr>
    </w:p>
    <w:p w:rsidR="00000000" w:rsidRPr="003C1D95" w:rsidP="003C1D95">
      <w:pPr>
        <w:pStyle w:val="AllowPageBreak"/>
      </w:pPr>
    </w:p>
    <w:p w:rsidR="00000000" w:rsidRPr="003C1D95" w:rsidP="003C1D95">
      <w:pPr>
        <w:pStyle w:val="Heading1"/>
      </w:pPr>
      <w:bookmarkStart w:id="12" w:name="O_133514"/>
      <w:bookmarkEnd w:id="12"/>
      <w:r w:rsidRPr="003C1D95">
        <w:t>Unit Sector(s)</w:t>
      </w:r>
    </w:p>
    <w:p w:rsidR="00000000" w:rsidRPr="003C1D95" w:rsidP="003C1D95">
      <w:pPr>
        <w:pStyle w:val="BodyText"/>
      </w:pPr>
      <w:r w:rsidRPr="003C1D95">
        <w:t>Smelting</w:t>
      </w:r>
    </w:p>
    <w:p w:rsidR="00000000" w:rsidRPr="003C1D95" w:rsidP="003C1D95">
      <w:pPr>
        <w:pStyle w:val="AllowPageBreak"/>
      </w:pPr>
    </w:p>
    <w:p w:rsidR="00000000" w:rsidRPr="003C1D95" w:rsidP="003C1D95">
      <w:pPr>
        <w:pStyle w:val="Heading1"/>
      </w:pPr>
      <w:bookmarkStart w:id="13" w:name="O_162039"/>
      <w:bookmarkEnd w:id="13"/>
      <w:r w:rsidRPr="003C1D95">
        <w:t>Competency field</w:t>
      </w:r>
    </w:p>
    <w:p w:rsidR="00000000" w:rsidRPr="003C1D95" w:rsidP="003C1D95">
      <w:pPr>
        <w:pStyle w:val="BodyText"/>
      </w:pPr>
      <w:r w:rsidRPr="003C1D95">
        <w:t>Refer to Unit Sector(s).</w:t>
      </w:r>
    </w:p>
    <w:p w:rsidR="00000000" w:rsidRPr="003C1D95" w:rsidP="003C1D95">
      <w:pPr>
        <w:pStyle w:val="AllowPageBreak"/>
      </w:pPr>
    </w:p>
    <w:p w:rsidR="00000000" w:rsidRPr="003C1D95" w:rsidP="003C1D95">
      <w:pPr>
        <w:pStyle w:val="Heading1"/>
      </w:pPr>
      <w:bookmarkStart w:id="14" w:name="O_162038"/>
      <w:bookmarkEnd w:id="14"/>
      <w:r w:rsidRPr="003C1D95">
        <w:t>Co-requisite units</w:t>
      </w:r>
    </w:p>
    <w:p w:rsidR="00000000" w:rsidRPr="003C1D95" w:rsidP="003C1D95">
      <w:pPr>
        <w:pStyle w:val="BodyText"/>
      </w:pPr>
      <w:r w:rsidRPr="003C1D95">
        <w:t>Not applicable.</w:t>
      </w:r>
    </w:p>
    <w:p w:rsidR="00000000" w:rsidRPr="003C1D95" w:rsidP="003C1D95"/>
    <w:sectPr w:rsidSect="003C1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7D3" w:rsidP="00602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3" w:rsidP="003C1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27D3" w:rsidP="003C1D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027D3" w:rsidP="003C1D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7D3" w:rsidP="006027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3" w:rsidP="003C1D95">
    <w:pPr>
      <w:pStyle w:val="Header"/>
      <w:framePr w:wrap="around"/>
    </w:pPr>
    <w:r>
      <w:fldChar w:fldCharType="begin"/>
    </w:r>
    <w:r>
      <w:instrText xml:space="preserve"> TITLE   \* MERGEFORMAT </w:instrText>
    </w:r>
    <w:r>
      <w:fldChar w:fldCharType="separate"/>
    </w:r>
    <w:r>
      <w:t>RIIPSM301A Cast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27D3" w:rsidP="003C1D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00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8E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4E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D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1D95"/>
    <w:pPr>
      <w:spacing w:before="360" w:after="60"/>
      <w:outlineLvl w:val="0"/>
    </w:pPr>
    <w:rPr>
      <w:sz w:val="32"/>
    </w:rPr>
  </w:style>
  <w:style w:type="paragraph" w:styleId="Heading2">
    <w:name w:val="heading 2"/>
    <w:basedOn w:val="HeadingBase"/>
    <w:next w:val="BodyText"/>
    <w:link w:val="Heading2Char"/>
    <w:qFormat/>
    <w:rsid w:val="003C1D95"/>
    <w:pPr>
      <w:keepLines/>
      <w:spacing w:before="240" w:after="120"/>
      <w:outlineLvl w:val="1"/>
    </w:pPr>
    <w:rPr>
      <w:sz w:val="28"/>
      <w:szCs w:val="40"/>
    </w:rPr>
  </w:style>
  <w:style w:type="paragraph" w:styleId="Heading3">
    <w:name w:val="heading 3"/>
    <w:basedOn w:val="HeadingBase"/>
    <w:next w:val="BodyText"/>
    <w:link w:val="Heading3Char"/>
    <w:qFormat/>
    <w:rsid w:val="003C1D95"/>
    <w:pPr>
      <w:spacing w:before="180" w:after="120"/>
      <w:outlineLvl w:val="2"/>
    </w:pPr>
    <w:rPr>
      <w:spacing w:val="-10"/>
      <w:kern w:val="32"/>
    </w:rPr>
  </w:style>
  <w:style w:type="paragraph" w:styleId="Heading4">
    <w:name w:val="heading 4"/>
    <w:basedOn w:val="HeadingBase"/>
    <w:next w:val="BodyText"/>
    <w:link w:val="Heading4Char"/>
    <w:qFormat/>
    <w:rsid w:val="003C1D95"/>
    <w:pPr>
      <w:spacing w:before="160" w:after="120"/>
      <w:outlineLvl w:val="3"/>
    </w:pPr>
    <w:rPr>
      <w:sz w:val="22"/>
    </w:rPr>
  </w:style>
  <w:style w:type="paragraph" w:styleId="Heading5">
    <w:name w:val="heading 5"/>
    <w:basedOn w:val="HeadingBase"/>
    <w:next w:val="Normal"/>
    <w:link w:val="Heading5Char"/>
    <w:qFormat/>
    <w:rsid w:val="003C1D95"/>
    <w:pPr>
      <w:spacing w:before="80"/>
      <w:outlineLvl w:val="4"/>
    </w:pPr>
    <w:rPr>
      <w:color w:val="918585"/>
      <w:sz w:val="20"/>
    </w:rPr>
  </w:style>
  <w:style w:type="paragraph" w:styleId="Heading6">
    <w:name w:val="heading 6"/>
    <w:basedOn w:val="HeadingBase"/>
    <w:next w:val="Normal"/>
    <w:link w:val="Heading6Char"/>
    <w:qFormat/>
    <w:rsid w:val="003C1D95"/>
    <w:pPr>
      <w:spacing w:before="60"/>
      <w:outlineLvl w:val="5"/>
    </w:pPr>
    <w:rPr>
      <w:color w:val="918585"/>
      <w:sz w:val="20"/>
    </w:rPr>
  </w:style>
  <w:style w:type="paragraph" w:styleId="Heading7">
    <w:name w:val="heading 7"/>
    <w:basedOn w:val="Normal"/>
    <w:next w:val="Normal"/>
    <w:link w:val="Heading7Char"/>
    <w:qFormat/>
    <w:rsid w:val="003C1D95"/>
    <w:pPr>
      <w:ind w:left="720"/>
      <w:outlineLvl w:val="6"/>
    </w:pPr>
    <w:rPr>
      <w:i/>
    </w:rPr>
  </w:style>
  <w:style w:type="paragraph" w:styleId="Heading8">
    <w:name w:val="heading 8"/>
    <w:basedOn w:val="Normal"/>
    <w:next w:val="Normal"/>
    <w:link w:val="Heading8Char"/>
    <w:qFormat/>
    <w:rsid w:val="003C1D95"/>
    <w:pPr>
      <w:ind w:left="720"/>
      <w:outlineLvl w:val="7"/>
    </w:pPr>
    <w:rPr>
      <w:i/>
    </w:rPr>
  </w:style>
  <w:style w:type="paragraph" w:styleId="Heading9">
    <w:name w:val="heading 9"/>
    <w:basedOn w:val="Normal"/>
    <w:next w:val="Normal"/>
    <w:link w:val="Heading9Char"/>
    <w:qFormat/>
    <w:rsid w:val="003C1D95"/>
    <w:pPr>
      <w:ind w:left="720"/>
      <w:outlineLvl w:val="8"/>
    </w:pPr>
    <w:rPr>
      <w:i/>
    </w:rPr>
  </w:style>
  <w:style w:type="character" w:default="1" w:styleId="DefaultParagraphFont">
    <w:name w:val="Default Paragraph Font"/>
    <w:uiPriority w:val="1"/>
    <w:unhideWhenUsed/>
    <w:rsid w:val="003C1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D95"/>
  </w:style>
  <w:style w:type="character" w:customStyle="1" w:styleId="Heading1Char">
    <w:name w:val="Heading 1 Char"/>
    <w:basedOn w:val="DefaultParagraphFont"/>
    <w:link w:val="Heading1"/>
    <w:rsid w:val="003C1D95"/>
    <w:rPr>
      <w:rFonts w:ascii="Times New Roman" w:eastAsia="Times New Roman" w:hAnsi="Times New Roman" w:cs="Times New Roman"/>
      <w:b/>
      <w:sz w:val="32"/>
      <w:szCs w:val="20"/>
      <w:lang w:eastAsia="en-US"/>
    </w:rPr>
  </w:style>
  <w:style w:type="paragraph" w:styleId="BodyText">
    <w:name w:val="Body Text"/>
    <w:basedOn w:val="Normal"/>
    <w:link w:val="BodyTextChar"/>
    <w:rsid w:val="003C1D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D95"/>
    <w:rPr>
      <w:rFonts w:ascii="Times New Roman" w:eastAsia="Times New Roman" w:hAnsi="Times New Roman" w:cs="Times New Roman"/>
      <w:sz w:val="24"/>
      <w:lang w:val="en-US" w:eastAsia="en-US"/>
    </w:rPr>
  </w:style>
  <w:style w:type="paragraph" w:styleId="Footer">
    <w:name w:val="footer"/>
    <w:basedOn w:val="Normal"/>
    <w:link w:val="FooterChar"/>
    <w:rsid w:val="003C1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D95"/>
    <w:rPr>
      <w:rFonts w:ascii="Times New Roman" w:eastAsia="Times New Roman" w:hAnsi="Times New Roman" w:cs="Times New Roman"/>
      <w:sz w:val="16"/>
      <w:lang w:val="en-US" w:eastAsia="en-US"/>
    </w:rPr>
  </w:style>
  <w:style w:type="paragraph" w:styleId="List">
    <w:name w:val="List"/>
    <w:basedOn w:val="BodyText"/>
    <w:next w:val="BodyText"/>
    <w:rsid w:val="003C1D95"/>
    <w:pPr>
      <w:tabs>
        <w:tab w:val="left" w:pos="340"/>
      </w:tabs>
      <w:spacing w:before="60" w:after="60"/>
      <w:ind w:left="340" w:hanging="340"/>
    </w:pPr>
  </w:style>
  <w:style w:type="paragraph" w:styleId="ListBullet">
    <w:name w:val="List Bullet"/>
    <w:basedOn w:val="List"/>
    <w:rsid w:val="003C1D95"/>
    <w:pPr>
      <w:numPr>
        <w:numId w:val="13"/>
      </w:numPr>
      <w:tabs>
        <w:tab w:val="clear" w:pos="340"/>
      </w:tabs>
      <w:spacing w:before="40" w:after="40"/>
    </w:pPr>
  </w:style>
  <w:style w:type="character" w:customStyle="1" w:styleId="SpecialBold">
    <w:name w:val="Special Bold"/>
    <w:basedOn w:val="DefaultParagraphFont"/>
    <w:rsid w:val="003C1D95"/>
    <w:rPr>
      <w:b/>
      <w:spacing w:val="0"/>
    </w:rPr>
  </w:style>
  <w:style w:type="paragraph" w:styleId="ListBullet2">
    <w:name w:val="List Bullet 2"/>
    <w:basedOn w:val="List2"/>
    <w:rsid w:val="003C1D95"/>
    <w:pPr>
      <w:numPr>
        <w:numId w:val="14"/>
      </w:numPr>
      <w:tabs>
        <w:tab w:val="clear" w:pos="680"/>
      </w:tabs>
    </w:pPr>
  </w:style>
  <w:style w:type="paragraph" w:styleId="Header">
    <w:name w:val="header"/>
    <w:basedOn w:val="Normal"/>
    <w:link w:val="HeaderChar"/>
    <w:rsid w:val="003C1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D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1D95"/>
    <w:pPr>
      <w:spacing w:before="240" w:after="120"/>
      <w:outlineLvl w:val="0"/>
    </w:pPr>
    <w:rPr>
      <w:rFonts w:ascii="Times New Roman" w:hAnsi="Times New Roman"/>
      <w:b/>
      <w:sz w:val="28"/>
    </w:rPr>
  </w:style>
  <w:style w:type="paragraph" w:customStyle="1" w:styleId="AllowPageBreak">
    <w:name w:val="AllowPageBreak"/>
    <w:rsid w:val="003C1D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D95"/>
    <w:pPr>
      <w:tabs>
        <w:tab w:val="left" w:pos="680"/>
      </w:tabs>
      <w:spacing w:before="60" w:after="60"/>
      <w:ind w:left="680" w:hanging="340"/>
    </w:pPr>
  </w:style>
  <w:style w:type="character" w:customStyle="1" w:styleId="BoldandItalics">
    <w:name w:val="Bold and Italics"/>
    <w:qFormat/>
    <w:rsid w:val="003C1D95"/>
    <w:rPr>
      <w:b/>
      <w:i/>
      <w:u w:val="none"/>
    </w:rPr>
  </w:style>
  <w:style w:type="character" w:customStyle="1" w:styleId="Heading2Char">
    <w:name w:val="Heading 2 Char"/>
    <w:basedOn w:val="DefaultParagraphFont"/>
    <w:link w:val="Heading2"/>
    <w:rsid w:val="003C1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D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1D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1D95"/>
    <w:rPr>
      <w:rFonts w:ascii="Courier New" w:eastAsia="Times New Roman" w:hAnsi="Courier New" w:cs="Times New Roman"/>
      <w:i/>
      <w:szCs w:val="20"/>
      <w:lang w:val="en-US" w:eastAsia="en-US"/>
    </w:rPr>
  </w:style>
  <w:style w:type="paragraph" w:customStyle="1" w:styleId="HeadingBase">
    <w:name w:val="Heading Base"/>
    <w:rsid w:val="003C1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D95"/>
    <w:pPr>
      <w:tabs>
        <w:tab w:val="right" w:leader="dot" w:pos="9072"/>
      </w:tabs>
      <w:ind w:left="567"/>
    </w:pPr>
    <w:rPr>
      <w:szCs w:val="22"/>
    </w:rPr>
  </w:style>
  <w:style w:type="paragraph" w:customStyle="1" w:styleId="TOCBase">
    <w:name w:val="TOC Base"/>
    <w:rsid w:val="003C1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D95"/>
    <w:pPr>
      <w:tabs>
        <w:tab w:val="right" w:leader="dot" w:pos="9072"/>
      </w:tabs>
      <w:spacing w:before="40" w:after="40"/>
      <w:ind w:left="284"/>
    </w:pPr>
    <w:rPr>
      <w:rFonts w:ascii="Times New Roman" w:hAnsi="Times New Roman"/>
    </w:rPr>
  </w:style>
  <w:style w:type="paragraph" w:styleId="TOC1">
    <w:name w:val="toc 1"/>
    <w:basedOn w:val="TOCBase"/>
    <w:next w:val="Normal"/>
    <w:rsid w:val="003C1D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D95"/>
    <w:pPr>
      <w:spacing w:before="5040"/>
      <w:jc w:val="center"/>
    </w:pPr>
    <w:rPr>
      <w:sz w:val="48"/>
      <w:szCs w:val="72"/>
      <w:lang w:val="en-US"/>
    </w:rPr>
  </w:style>
  <w:style w:type="character" w:customStyle="1" w:styleId="TitleChar">
    <w:name w:val="Title Char"/>
    <w:basedOn w:val="DefaultParagraphFont"/>
    <w:link w:val="Title"/>
    <w:rsid w:val="003C1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D95"/>
    <w:pPr>
      <w:tabs>
        <w:tab w:val="left" w:pos="3600"/>
        <w:tab w:val="left" w:pos="3958"/>
      </w:tabs>
    </w:pPr>
  </w:style>
  <w:style w:type="paragraph" w:customStyle="1" w:styleId="Note">
    <w:name w:val="Note"/>
    <w:basedOn w:val="BodyText"/>
    <w:rsid w:val="003C1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D95"/>
    <w:pPr>
      <w:framePr w:wrap="auto" w:hAnchor="text" w:y="6049"/>
    </w:pPr>
    <w:rPr>
      <w:color w:val="000000"/>
      <w:sz w:val="40"/>
    </w:rPr>
  </w:style>
  <w:style w:type="paragraph" w:customStyle="1" w:styleId="TOCTitle">
    <w:name w:val="TOCTitle"/>
    <w:basedOn w:val="Heading1"/>
    <w:rsid w:val="003C1D95"/>
    <w:pPr>
      <w:spacing w:after="240"/>
      <w:jc w:val="center"/>
      <w:outlineLvl w:val="9"/>
    </w:pPr>
    <w:rPr>
      <w:caps/>
    </w:rPr>
  </w:style>
  <w:style w:type="paragraph" w:customStyle="1" w:styleId="Version">
    <w:name w:val="Version"/>
    <w:rsid w:val="003C1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D95"/>
    <w:pPr>
      <w:keepNext w:val="0"/>
      <w:tabs>
        <w:tab w:val="right" w:pos="4176"/>
      </w:tabs>
      <w:ind w:left="198" w:hanging="198"/>
    </w:pPr>
    <w:rPr>
      <w:rFonts w:ascii="Garamond" w:hAnsi="Garamond"/>
    </w:rPr>
  </w:style>
  <w:style w:type="paragraph" w:styleId="IndexHeading">
    <w:name w:val="index heading"/>
    <w:basedOn w:val="Normal"/>
    <w:next w:val="Index1"/>
    <w:semiHidden/>
    <w:rsid w:val="003C1D95"/>
    <w:pPr>
      <w:spacing w:before="120" w:after="120"/>
    </w:pPr>
    <w:rPr>
      <w:rFonts w:ascii="Arial" w:hAnsi="Arial"/>
      <w:b/>
      <w:color w:val="918585"/>
      <w:sz w:val="24"/>
    </w:rPr>
  </w:style>
  <w:style w:type="paragraph" w:customStyle="1" w:styleId="Chapter">
    <w:name w:val="Chapter"/>
    <w:basedOn w:val="Normal"/>
    <w:rsid w:val="003C1D95"/>
    <w:pPr>
      <w:spacing w:before="240"/>
    </w:pPr>
    <w:rPr>
      <w:rFonts w:ascii="Times New Roman" w:hAnsi="Times New Roman"/>
      <w:smallCaps/>
      <w:spacing w:val="80"/>
      <w:sz w:val="28"/>
    </w:rPr>
  </w:style>
  <w:style w:type="paragraph" w:customStyle="1" w:styleId="InChapter">
    <w:name w:val="InChapter"/>
    <w:basedOn w:val="Heading3"/>
    <w:rsid w:val="003C1D95"/>
    <w:pPr>
      <w:spacing w:after="240"/>
      <w:outlineLvl w:val="9"/>
    </w:pPr>
    <w:rPr>
      <w:noProof/>
    </w:rPr>
  </w:style>
  <w:style w:type="paragraph" w:styleId="Index2">
    <w:name w:val="index 2"/>
    <w:basedOn w:val="Normal"/>
    <w:next w:val="Normal"/>
    <w:semiHidden/>
    <w:rsid w:val="003C1D95"/>
    <w:pPr>
      <w:tabs>
        <w:tab w:val="right" w:pos="4176"/>
      </w:tabs>
      <w:ind w:left="568" w:hanging="284"/>
    </w:pPr>
    <w:rPr>
      <w:rFonts w:ascii="Garamond" w:hAnsi="Garamond"/>
    </w:rPr>
  </w:style>
  <w:style w:type="paragraph" w:customStyle="1" w:styleId="Byline">
    <w:name w:val="Byline"/>
    <w:rsid w:val="003C1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D95"/>
    <w:pPr>
      <w:tabs>
        <w:tab w:val="clear" w:pos="3600"/>
        <w:tab w:val="clear" w:pos="3958"/>
      </w:tabs>
      <w:jc w:val="right"/>
    </w:pPr>
  </w:style>
  <w:style w:type="character" w:styleId="Emphasis">
    <w:name w:val="Emphasis"/>
    <w:basedOn w:val="DefaultParagraphFont"/>
    <w:qFormat/>
    <w:rsid w:val="003C1D95"/>
    <w:rPr>
      <w:i/>
    </w:rPr>
  </w:style>
  <w:style w:type="paragraph" w:styleId="Caption">
    <w:name w:val="caption"/>
    <w:basedOn w:val="BodyText"/>
    <w:next w:val="Normal"/>
    <w:qFormat/>
    <w:rsid w:val="003C1D95"/>
    <w:pPr>
      <w:framePr w:w="2268" w:hSpace="181" w:vSpace="181" w:wrap="around" w:vAnchor="text" w:hAnchor="page" w:x="1135" w:y="285" w:anchorLock="1"/>
    </w:pPr>
    <w:rPr>
      <w:i/>
    </w:rPr>
  </w:style>
  <w:style w:type="paragraph" w:customStyle="1" w:styleId="MiniTOCTitle">
    <w:name w:val="MiniTOCTitle"/>
    <w:basedOn w:val="Heading4"/>
    <w:rsid w:val="003C1D95"/>
    <w:pPr>
      <w:spacing w:before="240"/>
      <w:outlineLvl w:val="9"/>
    </w:pPr>
    <w:rPr>
      <w:noProof/>
      <w:sz w:val="24"/>
    </w:rPr>
  </w:style>
  <w:style w:type="paragraph" w:customStyle="1" w:styleId="MiniTOCItem">
    <w:name w:val="MiniTOCItem"/>
    <w:basedOn w:val="ListBullet"/>
    <w:rsid w:val="003C1D95"/>
    <w:pPr>
      <w:numPr>
        <w:numId w:val="0"/>
      </w:numPr>
      <w:tabs>
        <w:tab w:val="right" w:leader="dot" w:pos="6521"/>
      </w:tabs>
      <w:spacing w:before="0" w:after="0"/>
    </w:pPr>
  </w:style>
  <w:style w:type="paragraph" w:customStyle="1" w:styleId="TOFTitle">
    <w:name w:val="TOFTitle"/>
    <w:basedOn w:val="TOCTitle"/>
    <w:rsid w:val="003C1D95"/>
  </w:style>
  <w:style w:type="paragraph" w:styleId="TableofFigures">
    <w:name w:val="table of figures"/>
    <w:basedOn w:val="Normal"/>
    <w:next w:val="Normal"/>
    <w:semiHidden/>
    <w:rsid w:val="003C1D95"/>
    <w:pPr>
      <w:tabs>
        <w:tab w:val="right" w:leader="dot" w:pos="9072"/>
      </w:tabs>
      <w:ind w:left="970" w:hanging="403"/>
    </w:pPr>
    <w:rPr>
      <w:rFonts w:ascii="Times New Roman" w:hAnsi="Times New Roman"/>
      <w:b/>
    </w:rPr>
  </w:style>
  <w:style w:type="paragraph" w:styleId="ListNumber">
    <w:name w:val="List Number"/>
    <w:basedOn w:val="List"/>
    <w:rsid w:val="003C1D95"/>
    <w:pPr>
      <w:numPr>
        <w:numId w:val="11"/>
      </w:numPr>
    </w:pPr>
  </w:style>
  <w:style w:type="character" w:customStyle="1" w:styleId="WingdingSymbols">
    <w:name w:val="Wingding Symbols"/>
    <w:rsid w:val="003C1D95"/>
    <w:rPr>
      <w:rFonts w:ascii="Wingdings" w:hAnsi="Wingdings"/>
    </w:rPr>
  </w:style>
  <w:style w:type="paragraph" w:customStyle="1" w:styleId="TableHeading">
    <w:name w:val="Table Heading"/>
    <w:basedOn w:val="HeadingBase"/>
    <w:rsid w:val="003C1D95"/>
    <w:pPr>
      <w:keepLines/>
      <w:pBdr>
        <w:bottom w:val="single" w:sz="6" w:space="1" w:color="918585"/>
      </w:pBdr>
      <w:spacing w:before="240"/>
    </w:pPr>
  </w:style>
  <w:style w:type="character" w:customStyle="1" w:styleId="HotSpot">
    <w:name w:val="HotSpot"/>
    <w:rsid w:val="003C1D95"/>
    <w:rPr>
      <w:color w:val="0033CC"/>
      <w:u w:val="none"/>
    </w:rPr>
  </w:style>
  <w:style w:type="paragraph" w:customStyle="1" w:styleId="BodyTextRight">
    <w:name w:val="Body Text Right"/>
    <w:basedOn w:val="BodyText"/>
    <w:rsid w:val="003C1D95"/>
    <w:pPr>
      <w:spacing w:before="0" w:after="0"/>
      <w:jc w:val="right"/>
    </w:pPr>
  </w:style>
  <w:style w:type="paragraph" w:styleId="Index3">
    <w:name w:val="index 3"/>
    <w:basedOn w:val="ListNumber2"/>
    <w:next w:val="Normal"/>
    <w:semiHidden/>
    <w:rsid w:val="003C1D95"/>
    <w:pPr>
      <w:numPr>
        <w:numId w:val="0"/>
      </w:numPr>
      <w:tabs>
        <w:tab w:val="right" w:leader="dot" w:pos="4176"/>
      </w:tabs>
    </w:pPr>
  </w:style>
  <w:style w:type="paragraph" w:styleId="ListNumber2">
    <w:name w:val="List Number 2"/>
    <w:basedOn w:val="List2"/>
    <w:rsid w:val="003C1D95"/>
    <w:pPr>
      <w:numPr>
        <w:numId w:val="10"/>
      </w:numPr>
      <w:tabs>
        <w:tab w:val="clear" w:pos="1060"/>
      </w:tabs>
    </w:pPr>
  </w:style>
  <w:style w:type="paragraph" w:customStyle="1" w:styleId="MarginNote">
    <w:name w:val="Margin Note"/>
    <w:basedOn w:val="BodyText"/>
    <w:rsid w:val="003C1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D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1D95"/>
    <w:rPr>
      <w:sz w:val="32"/>
    </w:rPr>
  </w:style>
  <w:style w:type="paragraph" w:customStyle="1" w:styleId="HeadingProcedure">
    <w:name w:val="Heading Procedure"/>
    <w:basedOn w:val="HeadingBase"/>
    <w:next w:val="Normal"/>
    <w:rsid w:val="003C1D95"/>
    <w:pPr>
      <w:tabs>
        <w:tab w:val="left" w:pos="0"/>
      </w:tabs>
      <w:spacing w:before="120" w:after="60"/>
    </w:pPr>
    <w:rPr>
      <w:i/>
      <w:color w:val="918585"/>
      <w:sz w:val="22"/>
    </w:rPr>
  </w:style>
  <w:style w:type="paragraph" w:customStyle="1" w:styleId="TableBodyText">
    <w:name w:val="Table Body Text"/>
    <w:basedOn w:val="BodyText"/>
    <w:rsid w:val="003C1D95"/>
    <w:pPr>
      <w:spacing w:before="60" w:after="60"/>
    </w:pPr>
  </w:style>
  <w:style w:type="paragraph" w:styleId="ListContinue">
    <w:name w:val="List Continue"/>
    <w:basedOn w:val="List"/>
    <w:rsid w:val="003C1D95"/>
    <w:pPr>
      <w:ind w:firstLine="0"/>
    </w:pPr>
  </w:style>
  <w:style w:type="paragraph" w:customStyle="1" w:styleId="ListNote">
    <w:name w:val="List Note"/>
    <w:basedOn w:val="List"/>
    <w:rsid w:val="003C1D95"/>
    <w:pPr>
      <w:pBdr>
        <w:top w:val="single" w:sz="6" w:space="2" w:color="918585"/>
        <w:bottom w:val="single" w:sz="6" w:space="2" w:color="918585"/>
      </w:pBdr>
      <w:tabs>
        <w:tab w:val="left" w:pos="1021"/>
      </w:tabs>
      <w:ind w:firstLine="0"/>
    </w:pPr>
  </w:style>
  <w:style w:type="paragraph" w:customStyle="1" w:styleId="Warning">
    <w:name w:val="Warning"/>
    <w:basedOn w:val="BodyText"/>
    <w:rsid w:val="003C1D95"/>
    <w:pPr>
      <w:shd w:val="clear" w:color="auto" w:fill="D9D9D9"/>
      <w:tabs>
        <w:tab w:val="left" w:pos="992"/>
      </w:tabs>
      <w:ind w:left="119" w:right="119"/>
    </w:pPr>
    <w:rPr>
      <w:sz w:val="20"/>
    </w:rPr>
  </w:style>
  <w:style w:type="paragraph" w:customStyle="1" w:styleId="MarginIcons">
    <w:name w:val="Margin Icons"/>
    <w:basedOn w:val="BodyText"/>
    <w:rsid w:val="003C1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D95"/>
    <w:rPr>
      <w:rFonts w:ascii="Courier New" w:hAnsi="Courier New"/>
    </w:rPr>
  </w:style>
  <w:style w:type="paragraph" w:customStyle="1" w:styleId="NoteBullet">
    <w:name w:val="Note Bullet"/>
    <w:basedOn w:val="Note"/>
    <w:rsid w:val="003C1D95"/>
    <w:pPr>
      <w:tabs>
        <w:tab w:val="clear" w:pos="680"/>
      </w:tabs>
      <w:spacing w:before="60" w:after="60"/>
    </w:pPr>
  </w:style>
  <w:style w:type="paragraph" w:customStyle="1" w:styleId="SubHeading2">
    <w:name w:val="SubHeading2"/>
    <w:basedOn w:val="HeadingBase"/>
    <w:rsid w:val="003C1D95"/>
    <w:pPr>
      <w:spacing w:before="240" w:after="60"/>
    </w:pPr>
    <w:rPr>
      <w:sz w:val="20"/>
    </w:rPr>
  </w:style>
  <w:style w:type="paragraph" w:customStyle="1" w:styleId="SubHeading1">
    <w:name w:val="SubHeading1"/>
    <w:basedOn w:val="HeadingBase"/>
    <w:rsid w:val="003C1D95"/>
    <w:pPr>
      <w:spacing w:before="240" w:after="60"/>
    </w:pPr>
    <w:rPr>
      <w:color w:val="918585"/>
      <w:sz w:val="22"/>
    </w:rPr>
  </w:style>
  <w:style w:type="paragraph" w:customStyle="1" w:styleId="SideHeading">
    <w:name w:val="Side Heading"/>
    <w:basedOn w:val="HeadingBase"/>
    <w:rsid w:val="003C1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D95"/>
    <w:pPr>
      <w:numPr>
        <w:numId w:val="12"/>
      </w:numPr>
    </w:pPr>
  </w:style>
  <w:style w:type="paragraph" w:styleId="PlainText">
    <w:name w:val="Plain Text"/>
    <w:basedOn w:val="Normal"/>
    <w:link w:val="PlainTextChar"/>
    <w:rsid w:val="003C1D95"/>
    <w:rPr>
      <w:sz w:val="20"/>
    </w:rPr>
  </w:style>
  <w:style w:type="character" w:customStyle="1" w:styleId="PlainTextChar">
    <w:name w:val="Plain Text Char"/>
    <w:basedOn w:val="DefaultParagraphFont"/>
    <w:link w:val="PlainText"/>
    <w:rsid w:val="003C1D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1D95"/>
    <w:rPr>
      <w:b/>
      <w:smallCaps/>
    </w:rPr>
  </w:style>
  <w:style w:type="paragraph" w:customStyle="1" w:styleId="TableListNumber">
    <w:name w:val="Table List Number"/>
    <w:basedOn w:val="ListNumber"/>
    <w:rsid w:val="003C1D95"/>
    <w:pPr>
      <w:numPr>
        <w:numId w:val="0"/>
      </w:numPr>
    </w:pPr>
  </w:style>
  <w:style w:type="paragraph" w:styleId="TOC4">
    <w:name w:val="toc 4"/>
    <w:basedOn w:val="TOCBase"/>
    <w:next w:val="Normal"/>
    <w:semiHidden/>
    <w:rsid w:val="003C1D95"/>
    <w:pPr>
      <w:tabs>
        <w:tab w:val="right" w:leader="dot" w:pos="9071"/>
      </w:tabs>
      <w:ind w:left="1701"/>
    </w:pPr>
  </w:style>
  <w:style w:type="paragraph" w:customStyle="1" w:styleId="ListAlpha">
    <w:name w:val="List Alpha"/>
    <w:basedOn w:val="List"/>
    <w:rsid w:val="003C1D95"/>
    <w:pPr>
      <w:numPr>
        <w:numId w:val="9"/>
      </w:numPr>
    </w:pPr>
  </w:style>
  <w:style w:type="paragraph" w:customStyle="1" w:styleId="ListAlpha2">
    <w:name w:val="List Alpha 2"/>
    <w:basedOn w:val="List2"/>
    <w:rsid w:val="003C1D95"/>
    <w:pPr>
      <w:numPr>
        <w:numId w:val="8"/>
      </w:numPr>
    </w:pPr>
  </w:style>
  <w:style w:type="paragraph" w:styleId="List3">
    <w:name w:val="List 3"/>
    <w:basedOn w:val="BodyText"/>
    <w:rsid w:val="003C1D95"/>
    <w:pPr>
      <w:tabs>
        <w:tab w:val="left" w:pos="1021"/>
      </w:tabs>
      <w:spacing w:before="60" w:after="60"/>
      <w:ind w:left="1020" w:hanging="340"/>
    </w:pPr>
  </w:style>
  <w:style w:type="paragraph" w:styleId="List4">
    <w:name w:val="List 4"/>
    <w:basedOn w:val="BodyText"/>
    <w:rsid w:val="003C1D95"/>
    <w:pPr>
      <w:tabs>
        <w:tab w:val="left" w:pos="1361"/>
      </w:tabs>
      <w:spacing w:before="60" w:after="60"/>
      <w:ind w:left="1361" w:hanging="340"/>
    </w:pPr>
  </w:style>
  <w:style w:type="paragraph" w:styleId="List5">
    <w:name w:val="List 5"/>
    <w:basedOn w:val="BodyText"/>
    <w:rsid w:val="003C1D95"/>
    <w:pPr>
      <w:tabs>
        <w:tab w:val="left" w:pos="1701"/>
      </w:tabs>
      <w:spacing w:before="60" w:after="60"/>
      <w:ind w:left="1701" w:hanging="340"/>
    </w:pPr>
  </w:style>
  <w:style w:type="paragraph" w:styleId="ListBullet3">
    <w:name w:val="List Bullet 3"/>
    <w:basedOn w:val="List3"/>
    <w:rsid w:val="003C1D95"/>
    <w:pPr>
      <w:numPr>
        <w:numId w:val="15"/>
      </w:numPr>
      <w:tabs>
        <w:tab w:val="clear" w:pos="1021"/>
      </w:tabs>
      <w:ind w:left="1037" w:hanging="357"/>
    </w:pPr>
  </w:style>
  <w:style w:type="paragraph" w:styleId="ListBullet4">
    <w:name w:val="List Bullet 4"/>
    <w:basedOn w:val="List4"/>
    <w:rsid w:val="003C1D95"/>
    <w:pPr>
      <w:numPr>
        <w:numId w:val="3"/>
      </w:numPr>
    </w:pPr>
  </w:style>
  <w:style w:type="paragraph" w:styleId="ListBullet5">
    <w:name w:val="List Bullet 5"/>
    <w:basedOn w:val="List5"/>
    <w:rsid w:val="003C1D95"/>
    <w:pPr>
      <w:numPr>
        <w:numId w:val="4"/>
      </w:numPr>
    </w:pPr>
  </w:style>
  <w:style w:type="paragraph" w:styleId="ListContinue2">
    <w:name w:val="List Continue 2"/>
    <w:basedOn w:val="List2"/>
    <w:rsid w:val="003C1D95"/>
    <w:pPr>
      <w:ind w:firstLine="0"/>
    </w:pPr>
  </w:style>
  <w:style w:type="paragraph" w:styleId="ListContinue3">
    <w:name w:val="List Continue 3"/>
    <w:basedOn w:val="List3"/>
    <w:rsid w:val="003C1D95"/>
    <w:pPr>
      <w:ind w:left="1021" w:firstLine="0"/>
    </w:pPr>
  </w:style>
  <w:style w:type="paragraph" w:styleId="ListContinue4">
    <w:name w:val="List Continue 4"/>
    <w:basedOn w:val="List4"/>
    <w:rsid w:val="003C1D95"/>
    <w:pPr>
      <w:ind w:firstLine="0"/>
    </w:pPr>
  </w:style>
  <w:style w:type="paragraph" w:styleId="ListContinue5">
    <w:name w:val="List Continue 5"/>
    <w:basedOn w:val="List5"/>
    <w:rsid w:val="003C1D95"/>
    <w:pPr>
      <w:ind w:firstLine="0"/>
    </w:pPr>
  </w:style>
  <w:style w:type="paragraph" w:styleId="ListNumber3">
    <w:name w:val="List Number 3"/>
    <w:basedOn w:val="List3"/>
    <w:rsid w:val="003C1D95"/>
    <w:pPr>
      <w:numPr>
        <w:numId w:val="5"/>
      </w:numPr>
    </w:pPr>
  </w:style>
  <w:style w:type="paragraph" w:styleId="ListNumber4">
    <w:name w:val="List Number 4"/>
    <w:basedOn w:val="List4"/>
    <w:rsid w:val="003C1D95"/>
    <w:pPr>
      <w:numPr>
        <w:numId w:val="6"/>
      </w:numPr>
    </w:pPr>
  </w:style>
  <w:style w:type="paragraph" w:styleId="ListNumber5">
    <w:name w:val="List Number 5"/>
    <w:basedOn w:val="List5"/>
    <w:rsid w:val="003C1D95"/>
    <w:pPr>
      <w:numPr>
        <w:numId w:val="7"/>
      </w:numPr>
    </w:pPr>
  </w:style>
  <w:style w:type="paragraph" w:styleId="BlockText">
    <w:name w:val="Block Text"/>
    <w:basedOn w:val="Normal"/>
    <w:rsid w:val="003C1D95"/>
    <w:pPr>
      <w:spacing w:after="120"/>
      <w:ind w:left="1440" w:right="1440"/>
    </w:pPr>
  </w:style>
  <w:style w:type="character" w:customStyle="1" w:styleId="Subscript">
    <w:name w:val="Subscript"/>
    <w:basedOn w:val="DefaultParagraphFont"/>
    <w:rsid w:val="003C1D95"/>
    <w:rPr>
      <w:sz w:val="16"/>
      <w:vertAlign w:val="subscript"/>
    </w:rPr>
  </w:style>
  <w:style w:type="character" w:customStyle="1" w:styleId="Superscript">
    <w:name w:val="Superscript"/>
    <w:basedOn w:val="DefaultParagraphFont"/>
    <w:rsid w:val="003C1D95"/>
    <w:rPr>
      <w:sz w:val="16"/>
      <w:vertAlign w:val="superscript"/>
    </w:rPr>
  </w:style>
  <w:style w:type="character" w:customStyle="1" w:styleId="Symbols">
    <w:name w:val="Symbols"/>
    <w:basedOn w:val="DefaultParagraphFont"/>
    <w:rsid w:val="003C1D95"/>
    <w:rPr>
      <w:rFonts w:ascii="Symbol" w:hAnsi="Symbol"/>
    </w:rPr>
  </w:style>
  <w:style w:type="character" w:customStyle="1" w:styleId="MenuOptions">
    <w:name w:val="Menu Options"/>
    <w:basedOn w:val="DefaultParagraphFont"/>
    <w:rsid w:val="003C1D95"/>
    <w:rPr>
      <w:rFonts w:ascii="Arial Narrow" w:hAnsi="Arial Narrow"/>
      <w:smallCaps/>
    </w:rPr>
  </w:style>
  <w:style w:type="character" w:customStyle="1" w:styleId="Buttons">
    <w:name w:val="Buttons"/>
    <w:basedOn w:val="DefaultParagraphFont"/>
    <w:rsid w:val="003C1D95"/>
    <w:rPr>
      <w:b/>
    </w:rPr>
  </w:style>
  <w:style w:type="character" w:customStyle="1" w:styleId="Underlined">
    <w:name w:val="Underlined"/>
    <w:basedOn w:val="DefaultParagraphFont"/>
    <w:rsid w:val="003C1D95"/>
    <w:rPr>
      <w:u w:val="single"/>
    </w:rPr>
  </w:style>
  <w:style w:type="paragraph" w:customStyle="1" w:styleId="TableBodyTextRight">
    <w:name w:val="Table Body Text Right"/>
    <w:basedOn w:val="TableBodyText"/>
    <w:rsid w:val="003C1D95"/>
    <w:pPr>
      <w:widowControl w:val="0"/>
      <w:autoSpaceDE w:val="0"/>
      <w:autoSpaceDN w:val="0"/>
      <w:adjustRightInd w:val="0"/>
      <w:jc w:val="right"/>
    </w:pPr>
    <w:rPr>
      <w:rFonts w:cs="Arial"/>
      <w:szCs w:val="18"/>
    </w:rPr>
  </w:style>
  <w:style w:type="paragraph" w:customStyle="1" w:styleId="CopyrightText">
    <w:name w:val="Copyright Text"/>
    <w:basedOn w:val="BodyText"/>
    <w:rsid w:val="003C1D95"/>
    <w:rPr>
      <w:sz w:val="18"/>
    </w:rPr>
  </w:style>
  <w:style w:type="paragraph" w:customStyle="1" w:styleId="BodySmallRight">
    <w:name w:val="Body Small Right"/>
    <w:basedOn w:val="BodyTextRight"/>
    <w:rsid w:val="003C1D95"/>
    <w:rPr>
      <w:sz w:val="18"/>
      <w:szCs w:val="18"/>
    </w:rPr>
  </w:style>
  <w:style w:type="paragraph" w:customStyle="1" w:styleId="MarginEdition">
    <w:name w:val="Margin Edition"/>
    <w:basedOn w:val="MarginNote"/>
    <w:rsid w:val="003C1D95"/>
    <w:pPr>
      <w:spacing w:before="0" w:after="0"/>
    </w:pPr>
    <w:rPr>
      <w:rFonts w:ascii="Times New Roman" w:hAnsi="Times New Roman"/>
      <w:color w:val="999999"/>
    </w:rPr>
  </w:style>
  <w:style w:type="paragraph" w:customStyle="1" w:styleId="Spacer">
    <w:name w:val="Spacer"/>
    <w:basedOn w:val="Normal"/>
    <w:rsid w:val="003C1D95"/>
    <w:rPr>
      <w:sz w:val="2"/>
      <w:szCs w:val="2"/>
    </w:rPr>
  </w:style>
  <w:style w:type="character" w:customStyle="1" w:styleId="Small">
    <w:name w:val="Small"/>
    <w:basedOn w:val="DefaultParagraphFont"/>
    <w:rsid w:val="003C1D95"/>
    <w:rPr>
      <w:sz w:val="16"/>
    </w:rPr>
  </w:style>
  <w:style w:type="paragraph" w:customStyle="1" w:styleId="WideTable">
    <w:name w:val="Wide Table"/>
    <w:basedOn w:val="Normal"/>
    <w:rsid w:val="003C1D95"/>
    <w:pPr>
      <w:ind w:left="-1418"/>
    </w:pPr>
    <w:rPr>
      <w:sz w:val="2"/>
      <w:szCs w:val="2"/>
    </w:rPr>
  </w:style>
  <w:style w:type="character" w:styleId="PageNumber">
    <w:name w:val="page number"/>
    <w:basedOn w:val="DefaultParagraphFont"/>
    <w:rsid w:val="003C1D95"/>
  </w:style>
  <w:style w:type="paragraph" w:styleId="Quote">
    <w:name w:val="Quote"/>
    <w:basedOn w:val="Heading1"/>
    <w:link w:val="QuoteChar"/>
    <w:qFormat/>
    <w:rsid w:val="003C1D95"/>
    <w:rPr>
      <w:b w:val="0"/>
      <w:sz w:val="72"/>
      <w:szCs w:val="72"/>
      <w:lang w:val="en-NZ"/>
    </w:rPr>
  </w:style>
  <w:style w:type="character" w:customStyle="1" w:styleId="QuoteChar">
    <w:name w:val="Quote Char"/>
    <w:basedOn w:val="DefaultParagraphFont"/>
    <w:link w:val="Quote"/>
    <w:rsid w:val="003C1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D95"/>
    <w:pPr>
      <w:pageBreakBefore/>
    </w:pPr>
  </w:style>
  <w:style w:type="paragraph" w:customStyle="1" w:styleId="Border">
    <w:name w:val="Border"/>
    <w:basedOn w:val="Normal"/>
    <w:qFormat/>
    <w:rsid w:val="003C1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D95"/>
    <w:rPr>
      <w:b/>
      <w:bCs/>
      <w:i/>
      <w:iCs/>
      <w:color w:val="auto"/>
    </w:rPr>
  </w:style>
  <w:style w:type="paragraph" w:styleId="IntenseQuote">
    <w:name w:val="Intense Quote"/>
    <w:basedOn w:val="Normal"/>
    <w:next w:val="Normal"/>
    <w:link w:val="IntenseQuoteChar"/>
    <w:uiPriority w:val="30"/>
    <w:qFormat/>
    <w:rsid w:val="003C1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D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1D95"/>
    <w:rPr>
      <w:smallCaps/>
      <w:color w:val="auto"/>
      <w:u w:val="single"/>
    </w:rPr>
  </w:style>
  <w:style w:type="character" w:styleId="IntenseReference">
    <w:name w:val="Intense Reference"/>
    <w:basedOn w:val="DefaultParagraphFont"/>
    <w:uiPriority w:val="32"/>
    <w:qFormat/>
    <w:rsid w:val="003C1D95"/>
    <w:rPr>
      <w:b/>
      <w:bCs/>
      <w:smallCaps/>
      <w:color w:val="auto"/>
      <w:spacing w:val="5"/>
      <w:u w:val="single"/>
    </w:rPr>
  </w:style>
  <w:style w:type="paragraph" w:customStyle="1" w:styleId="2ColumnHeading">
    <w:name w:val="2Column Heading"/>
    <w:basedOn w:val="BodyText"/>
    <w:qFormat/>
    <w:rsid w:val="003C1D95"/>
    <w:pPr>
      <w:spacing w:after="60"/>
      <w:ind w:left="-2268"/>
    </w:pPr>
    <w:rPr>
      <w:b/>
    </w:rPr>
  </w:style>
  <w:style w:type="paragraph" w:customStyle="1" w:styleId="Heading1TOC">
    <w:name w:val="Heading1 TOC"/>
    <w:basedOn w:val="Normal"/>
    <w:qFormat/>
    <w:rsid w:val="003C1D95"/>
    <w:pPr>
      <w:spacing w:before="240" w:after="120"/>
    </w:pPr>
    <w:rPr>
      <w:rFonts w:ascii="Times New Roman" w:hAnsi="Times New Roman"/>
      <w:b/>
      <w:sz w:val="32"/>
    </w:rPr>
  </w:style>
  <w:style w:type="paragraph" w:customStyle="1" w:styleId="Heading2TOC">
    <w:name w:val="Heading2 TOC"/>
    <w:basedOn w:val="Normal"/>
    <w:qFormat/>
    <w:rsid w:val="003C1D95"/>
    <w:pPr>
      <w:spacing w:before="240" w:after="60"/>
    </w:pPr>
    <w:rPr>
      <w:rFonts w:ascii="Times New Roman" w:hAnsi="Times New Roman"/>
      <w:b/>
      <w:sz w:val="28"/>
    </w:rPr>
  </w:style>
  <w:style w:type="character" w:customStyle="1" w:styleId="Underline">
    <w:name w:val="Underline"/>
    <w:basedOn w:val="DefaultParagraphFont"/>
    <w:qFormat/>
    <w:rsid w:val="003C1D95"/>
    <w:rPr>
      <w:u w:val="single"/>
    </w:rPr>
  </w:style>
  <w:style w:type="paragraph" w:styleId="BalloonText">
    <w:name w:val="Balloon Text"/>
    <w:basedOn w:val="Normal"/>
    <w:link w:val="BalloonTextChar"/>
    <w:rsid w:val="003C1D95"/>
    <w:rPr>
      <w:rFonts w:ascii="Tahoma" w:hAnsi="Tahoma" w:cs="Tahoma"/>
      <w:sz w:val="16"/>
      <w:szCs w:val="16"/>
    </w:rPr>
  </w:style>
  <w:style w:type="character" w:customStyle="1" w:styleId="BalloonTextChar">
    <w:name w:val="Balloon Text Char"/>
    <w:basedOn w:val="DefaultParagraphFont"/>
    <w:link w:val="BalloonText"/>
    <w:rsid w:val="003C1D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1D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D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7988</Characters>
  <Application>Microsoft Office Word</Application>
  <DocSecurity>0</DocSecurity>
  <Lines>305</Lines>
  <Paragraphs>175</Paragraphs>
  <ScaleCrop>false</ScaleCrop>
  <Company>Author-it Software Corporation Ltd.</Company>
  <LinksUpToDate>false</LinksUpToDate>
  <CharactersWithSpaces>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RIIPSM301A Cast a blast furnace</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2012-05-26T21:16:00Z</dcterms:created>
  <dcterms:modified xsi:type="dcterms:W3CDTF">2012-05-26T21:16:00Z</dcterms:modified>
</cp:coreProperties>
</file>