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8FA" w:rsidP="004648FA">
      <w:pPr>
        <w:pStyle w:val="Title"/>
      </w:pPr>
      <w:r>
        <w:fldChar w:fldCharType="begin"/>
      </w:r>
      <w:r>
        <w:instrText xml:space="preserve"> TITLE   \* MERGEFORMAT </w:instrText>
      </w:r>
      <w:r>
        <w:fldChar w:fldCharType="separate"/>
      </w:r>
      <w:r>
        <w:t>RIIPEO208A Extend, retract and maintain conveyor componentry</w:t>
      </w:r>
      <w:r>
        <w:fldChar w:fldCharType="end"/>
      </w:r>
    </w:p>
    <w:p w:rsidR="004648FA" w:rsidP="004648FA">
      <w:pPr>
        <w:pStyle w:val="Version"/>
        <w:sectPr w:rsidSect="0003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CDF" w:rsidP="00031CDF">
      <w:pPr>
        <w:pStyle w:val="SuperHeading"/>
      </w:pPr>
      <w:r w:rsidRPr="00031CDF">
        <w:t>RIIPEO208A Extend, retract and maintain conveyor componentry</w:t>
      </w:r>
    </w:p>
    <w:p w:rsidR="00000000" w:rsidRPr="00031CDF" w:rsidP="00031CDF">
      <w:pPr>
        <w:pStyle w:val="Heading1"/>
      </w:pPr>
      <w:bookmarkStart w:id="1" w:name="O_133047"/>
      <w:bookmarkEnd w:id="1"/>
      <w:r w:rsidRPr="00031CDF">
        <w:t>Modification History</w:t>
      </w:r>
    </w:p>
    <w:p w:rsidR="00000000" w:rsidRPr="00031CDF" w:rsidP="00031CDF">
      <w:pPr>
        <w:pStyle w:val="BodyText"/>
      </w:pPr>
      <w:r w:rsidRPr="00031CDF">
        <w:t>Not applicable.</w:t>
      </w:r>
    </w:p>
    <w:p w:rsidR="00000000" w:rsidRPr="00031CDF" w:rsidP="00031CDF">
      <w:pPr>
        <w:pStyle w:val="AllowPageBreak"/>
      </w:pPr>
    </w:p>
    <w:p w:rsidR="00000000" w:rsidRPr="00031CDF" w:rsidP="00031CDF">
      <w:pPr>
        <w:pStyle w:val="Heading1"/>
      </w:pPr>
      <w:bookmarkStart w:id="2" w:name="O_133048"/>
      <w:bookmarkEnd w:id="2"/>
      <w:r w:rsidRPr="00031CDF">
        <w:t>Unit Descriptor</w:t>
      </w:r>
    </w:p>
    <w:p w:rsidR="00000000" w:rsidRPr="00031CDF" w:rsidP="00031CDF">
      <w:pPr>
        <w:pStyle w:val="BodyText"/>
      </w:pPr>
      <w:r w:rsidRPr="00031CDF">
        <w:t>This unit covers th</w:t>
      </w:r>
      <w:r w:rsidRPr="00031CDF">
        <w:t>e extension, retraction and maintenance of conveyor componentry in coal mining industries. It includes planning and preparing, installation and retraction of belt conveyor componentry, and carrying out conveyor maintenance.</w:t>
      </w:r>
    </w:p>
    <w:p w:rsidR="00000000" w:rsidRPr="00031CDF" w:rsidP="00031CDF">
      <w:pPr>
        <w:pStyle w:val="AllowPageBreak"/>
      </w:pPr>
    </w:p>
    <w:p w:rsidR="00000000" w:rsidRPr="00031CDF" w:rsidP="00031CDF">
      <w:pPr>
        <w:pStyle w:val="Heading1"/>
      </w:pPr>
      <w:bookmarkStart w:id="3" w:name="O_133049"/>
      <w:bookmarkEnd w:id="3"/>
      <w:r w:rsidRPr="00031CDF">
        <w:t xml:space="preserve">Application of </w:t>
      </w:r>
      <w:r w:rsidRPr="00031CDF">
        <w:t>the Unit</w:t>
      </w:r>
    </w:p>
    <w:p w:rsidR="00000000" w:rsidRPr="00031CDF" w:rsidP="00031CDF">
      <w:pPr>
        <w:pStyle w:val="BodyText"/>
      </w:pPr>
      <w:r w:rsidRPr="00031CDF">
        <w:t>This unit is appropriate for those working in a role assisting with extension, retraction and maintenance of conveyor componentry within:</w:t>
      </w:r>
    </w:p>
    <w:p w:rsidR="00000000" w:rsidRPr="00031CDF" w:rsidP="00031CDF">
      <w:pPr>
        <w:pStyle w:val="ListBullet"/>
      </w:pPr>
      <w:r w:rsidRPr="00031CDF">
        <w:t>Coal mining</w:t>
      </w:r>
    </w:p>
    <w:p w:rsidR="00000000" w:rsidRPr="00031CDF" w:rsidP="00031CDF">
      <w:pPr>
        <w:pStyle w:val="AllowPageBreak"/>
      </w:pPr>
    </w:p>
    <w:p w:rsidR="00000000" w:rsidRPr="00031CDF" w:rsidP="00031CDF">
      <w:pPr>
        <w:pStyle w:val="Heading1"/>
      </w:pPr>
      <w:bookmarkStart w:id="4" w:name="O_133050"/>
      <w:bookmarkEnd w:id="4"/>
      <w:r w:rsidRPr="00031CDF">
        <w:t>Licensing/Regulatory Information</w:t>
      </w:r>
    </w:p>
    <w:p w:rsidR="00000000" w:rsidRPr="00031CDF" w:rsidP="00031CDF">
      <w:pPr>
        <w:pStyle w:val="BodyText"/>
      </w:pPr>
      <w:r w:rsidRPr="00031CDF">
        <w:t>Refer to Unit Descriptor.</w:t>
      </w:r>
    </w:p>
    <w:p w:rsidR="00000000" w:rsidRPr="00031CDF" w:rsidP="00031CDF">
      <w:pPr>
        <w:pStyle w:val="AllowPageBreak"/>
      </w:pPr>
    </w:p>
    <w:p w:rsidR="00000000" w:rsidRPr="00031CDF" w:rsidP="00031CDF">
      <w:pPr>
        <w:pStyle w:val="Heading1"/>
      </w:pPr>
      <w:bookmarkStart w:id="5" w:name="O_133052"/>
      <w:bookmarkEnd w:id="5"/>
      <w:r w:rsidRPr="00031CDF">
        <w:t>Pre-Requisites</w:t>
      </w:r>
    </w:p>
    <w:p w:rsidR="00000000" w:rsidRPr="00031CDF" w:rsidP="00031CDF">
      <w:pPr>
        <w:pStyle w:val="BodyText"/>
      </w:pPr>
      <w:r w:rsidRPr="00031CDF">
        <w:t>Not applicable.</w:t>
      </w:r>
    </w:p>
    <w:p w:rsidR="00000000" w:rsidRPr="00031CDF" w:rsidP="00031CDF">
      <w:pPr>
        <w:pStyle w:val="AllowPageBreak"/>
      </w:pPr>
    </w:p>
    <w:p w:rsidR="00000000" w:rsidRPr="00031CDF" w:rsidP="00031CDF">
      <w:pPr>
        <w:pStyle w:val="Heading1"/>
      </w:pPr>
      <w:bookmarkStart w:id="6" w:name="O_133051"/>
      <w:bookmarkEnd w:id="6"/>
      <w:r w:rsidRPr="00031CDF">
        <w:t>Employability Skills Information</w:t>
      </w:r>
    </w:p>
    <w:p w:rsidR="00000000" w:rsidRPr="00031CDF" w:rsidP="00031CDF">
      <w:pPr>
        <w:pStyle w:val="BodyText"/>
      </w:pPr>
      <w:r w:rsidRPr="00031CDF">
        <w:t>This unit contains employability skills.</w:t>
      </w:r>
    </w:p>
    <w:p w:rsidR="00000000" w:rsidRPr="00031CDF" w:rsidP="00031CDF">
      <w:pPr>
        <w:pStyle w:val="AllowPageBreak"/>
      </w:pPr>
    </w:p>
    <w:p w:rsidR="00000000" w:rsidRPr="00031CDF" w:rsidP="00031CDF">
      <w:pPr>
        <w:pStyle w:val="Heading1"/>
      </w:pPr>
      <w:bookmarkStart w:id="7" w:name="O_133053"/>
      <w:bookmarkEnd w:id="7"/>
      <w:r w:rsidRPr="00031CDF">
        <w:t>Elements and Performance Criteria Pre-Content</w:t>
      </w:r>
    </w:p>
    <w:tbl>
      <w:tblPr>
        <w:tblW w:w="0" w:type="auto"/>
        <w:tblLayout w:type="fixed"/>
        <w:tblCellMar>
          <w:left w:w="62" w:type="dxa"/>
          <w:right w:w="62" w:type="dxa"/>
        </w:tblCellMar>
        <w:tblLook w:val="0000"/>
      </w:tblPr>
      <w:tblGrid>
        <w:gridCol w:w="2531"/>
        <w:gridCol w:w="5991"/>
      </w:tblGrid>
      <w:tr w:rsidTr="004648F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t>Perfo</w:t>
            </w:r>
            <w:r w:rsidRPr="00031CDF">
              <w:t>rmance criteria describe the performance needed to demonstrate achievement of the element. Where bold italicised text is used, further information is detailed in the required skills and knowledge section and the range statement. Assessment of performance i</w:t>
            </w:r>
            <w:r w:rsidRPr="00031CDF">
              <w:t>s to be consistent with the evidence guide.</w:t>
            </w:r>
          </w:p>
        </w:tc>
      </w:tr>
    </w:tbl>
    <w:p w:rsidR="00000000" w:rsidRPr="00031CDF" w:rsidP="00031CDF">
      <w:pPr>
        <w:pStyle w:val="BodyText"/>
      </w:pPr>
    </w:p>
    <w:p w:rsidR="00000000" w:rsidRPr="00031CDF" w:rsidP="00031CDF">
      <w:pPr>
        <w:pStyle w:val="AllowPageBreak"/>
      </w:pPr>
    </w:p>
    <w:p w:rsidR="00000000" w:rsidRPr="00031CDF" w:rsidP="00031CDF">
      <w:pPr>
        <w:pStyle w:val="Heading1"/>
      </w:pPr>
      <w:bookmarkStart w:id="8" w:name="O_133054"/>
      <w:bookmarkEnd w:id="8"/>
      <w:r w:rsidRPr="00031CDF">
        <w:t>Elements and Performance Criteria</w:t>
      </w:r>
    </w:p>
    <w:tbl>
      <w:tblPr>
        <w:tblW w:w="0" w:type="auto"/>
        <w:tblLayout w:type="fixed"/>
        <w:tblCellMar>
          <w:left w:w="62" w:type="dxa"/>
          <w:right w:w="62" w:type="dxa"/>
        </w:tblCellMar>
        <w:tblLook w:val="0000"/>
      </w:tblPr>
      <w:tblGrid>
        <w:gridCol w:w="3471"/>
        <w:gridCol w:w="5051"/>
      </w:tblGrid>
      <w:tr w:rsidTr="004648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PERFORMANCE CRITERIA</w:t>
            </w:r>
          </w:p>
        </w:tc>
      </w:tr>
      <w:tr w:rsidTr="004648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List"/>
              <w:rPr>
                <w:lang w:val="en-NZ"/>
              </w:rPr>
            </w:pPr>
            <w:r w:rsidRPr="00031CDF">
              <w:t>1.</w:t>
            </w:r>
            <w:r w:rsidRPr="00031CD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2"/>
            </w:pPr>
            <w:r w:rsidRPr="00031CDF">
              <w:t>1.1.</w:t>
            </w:r>
            <w:r w:rsidRPr="00031CDF">
              <w:tab/>
              <w:t xml:space="preserve">Access, interpret and apply </w:t>
            </w:r>
            <w:r w:rsidRPr="00031CDF">
              <w:rPr>
                <w:rStyle w:val="BoldandItalics"/>
              </w:rPr>
              <w:t>compliance documentation</w:t>
            </w:r>
            <w:r w:rsidRPr="00031CDF">
              <w:t xml:space="preserve"> relevant to the work activity</w:t>
            </w:r>
          </w:p>
          <w:p w:rsidR="00000000" w:rsidRPr="00031CDF" w:rsidP="00031CDF">
            <w:pPr>
              <w:pStyle w:val="List2"/>
            </w:pPr>
            <w:r w:rsidRPr="00031CDF">
              <w:t>1.2.</w:t>
            </w:r>
            <w:r w:rsidRPr="00031CDF">
              <w:tab/>
            </w:r>
            <w:r w:rsidRPr="00031CDF">
              <w:t xml:space="preserve">Obtain, interpret and clarify/confirm </w:t>
            </w:r>
            <w:r w:rsidRPr="00031CDF">
              <w:rPr>
                <w:rStyle w:val="BoldandItalics"/>
              </w:rPr>
              <w:t>work requirements</w:t>
            </w:r>
            <w:r w:rsidRPr="00031CDF">
              <w:t xml:space="preserve"> before proceeding</w:t>
            </w:r>
          </w:p>
          <w:p w:rsidR="00000000" w:rsidRPr="00031CDF" w:rsidP="00031CDF">
            <w:pPr>
              <w:pStyle w:val="List2"/>
            </w:pPr>
            <w:r w:rsidRPr="00031CDF">
              <w:t>1.3.</w:t>
            </w:r>
            <w:r w:rsidRPr="00031CDF">
              <w:tab/>
              <w:t>Access, interpret and apply geological and survey data required to complete the allocated work.</w:t>
            </w:r>
          </w:p>
          <w:p w:rsidR="00000000" w:rsidRPr="00031CDF" w:rsidP="00031CDF">
            <w:pPr>
              <w:pStyle w:val="List2"/>
            </w:pPr>
            <w:r w:rsidRPr="00031CDF">
              <w:t>1.4.</w:t>
            </w:r>
            <w:r w:rsidRPr="00031CDF">
              <w:tab/>
              <w:t xml:space="preserve">Access and apply </w:t>
            </w:r>
            <w:r w:rsidRPr="00031CDF">
              <w:rPr>
                <w:rStyle w:val="BoldandItalics"/>
              </w:rPr>
              <w:t>safety information and procedures</w:t>
            </w:r>
            <w:r w:rsidRPr="00031CDF">
              <w:t xml:space="preserve"> throughout the work</w:t>
            </w:r>
          </w:p>
          <w:p w:rsidR="00000000" w:rsidRPr="00031CDF" w:rsidP="00031CDF">
            <w:pPr>
              <w:pStyle w:val="List2"/>
            </w:pPr>
            <w:r w:rsidRPr="00031CDF">
              <w:t>1.5.</w:t>
            </w:r>
            <w:r w:rsidRPr="00031CDF">
              <w:tab/>
            </w:r>
            <w:r w:rsidRPr="00031CDF">
              <w:t>Obtain, transport and prepare materials and resources required for the work in accordance with the plan and relevant manufacturer or site requirements</w:t>
            </w:r>
          </w:p>
          <w:p w:rsidR="00000000" w:rsidP="00031CDF">
            <w:pPr>
              <w:pStyle w:val="List2"/>
              <w:rPr>
                <w:lang w:val="en-NZ"/>
              </w:rPr>
            </w:pPr>
            <w:r w:rsidRPr="00031CDF">
              <w:t>1.6.</w:t>
            </w:r>
            <w:r w:rsidRPr="00031CDF">
              <w:tab/>
              <w:t>Prepare the worksite in accordance with site requirements</w:t>
            </w:r>
          </w:p>
        </w:tc>
      </w:tr>
      <w:tr w:rsidTr="004648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List"/>
              <w:rPr>
                <w:lang w:val="en-NZ"/>
              </w:rPr>
            </w:pPr>
            <w:r w:rsidRPr="00031CDF">
              <w:t>2.</w:t>
            </w:r>
            <w:r w:rsidRPr="00031CDF">
              <w:tab/>
              <w:t>Install and retract belt conveyor comp</w:t>
            </w:r>
            <w:r w:rsidRPr="00031CDF">
              <w:t>onentry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2"/>
            </w:pPr>
            <w:r w:rsidRPr="00031CDF">
              <w:t>2.1.</w:t>
            </w:r>
            <w:r w:rsidRPr="00031CDF">
              <w:tab/>
              <w:t>Coordinate activities with others at the site prior to commencement of, and during, the work activity</w:t>
            </w:r>
          </w:p>
          <w:p w:rsidR="00000000" w:rsidRPr="00031CDF" w:rsidP="00031CDF">
            <w:pPr>
              <w:pStyle w:val="List2"/>
            </w:pPr>
            <w:r w:rsidRPr="00031CDF">
              <w:t>2.2.</w:t>
            </w:r>
            <w:r w:rsidRPr="00031CDF">
              <w:tab/>
              <w:t xml:space="preserve">Establish and monitor </w:t>
            </w:r>
            <w:r w:rsidRPr="00031CDF">
              <w:rPr>
                <w:rStyle w:val="BoldandItalics"/>
              </w:rPr>
              <w:t>safe work environment</w:t>
            </w:r>
            <w:r w:rsidRPr="00031CDF">
              <w:t xml:space="preserve"> throughout the job</w:t>
            </w:r>
          </w:p>
          <w:p w:rsidR="00000000" w:rsidRPr="00031CDF" w:rsidP="00031CDF">
            <w:pPr>
              <w:pStyle w:val="List2"/>
            </w:pPr>
            <w:r w:rsidRPr="00031CDF">
              <w:t>2.3.</w:t>
            </w:r>
            <w:r w:rsidRPr="00031CDF">
              <w:tab/>
              <w:t>Isolate and connect auxiliary componentry in accordance with the man</w:t>
            </w:r>
            <w:r w:rsidRPr="00031CDF">
              <w:t>ufacturer and site procedures</w:t>
            </w:r>
          </w:p>
          <w:p w:rsidR="00000000" w:rsidRPr="00031CDF" w:rsidP="00031CDF">
            <w:pPr>
              <w:pStyle w:val="List2"/>
            </w:pPr>
            <w:r w:rsidRPr="00031CDF">
              <w:t>2.4.</w:t>
            </w:r>
            <w:r w:rsidRPr="00031CDF">
              <w:tab/>
              <w:t xml:space="preserve">Extend/retract belt </w:t>
            </w:r>
            <w:r w:rsidRPr="00031CDF">
              <w:rPr>
                <w:rStyle w:val="BoldandItalics"/>
              </w:rPr>
              <w:t>conveyor componentry</w:t>
            </w:r>
            <w:r w:rsidRPr="00031CDF">
              <w:t xml:space="preserve"> in accordance with manufacturer and/or site requirements and legislative regulations</w:t>
            </w:r>
          </w:p>
          <w:p w:rsidR="00000000" w:rsidRPr="00031CDF" w:rsidP="00031CDF">
            <w:pPr>
              <w:pStyle w:val="List2"/>
            </w:pPr>
            <w:r w:rsidRPr="00031CDF">
              <w:t>2.5.</w:t>
            </w:r>
            <w:r w:rsidRPr="00031CDF">
              <w:tab/>
              <w:t>Inspect conveyor for line and level and test to ensure functionality, safety and complianc</w:t>
            </w:r>
            <w:r w:rsidRPr="00031CDF">
              <w:t>e with specifications</w:t>
            </w:r>
          </w:p>
          <w:p w:rsidR="00000000" w:rsidRPr="00031CDF" w:rsidP="00031CDF">
            <w:pPr>
              <w:pStyle w:val="List2"/>
            </w:pPr>
            <w:r w:rsidRPr="00031CDF">
              <w:t>2.6.</w:t>
            </w:r>
            <w:r w:rsidRPr="00031CDF">
              <w:tab/>
              <w:t>Recover conveyor equipment systematically, in accordance with site procedures and with minimal loss and damage to the recovered equipment</w:t>
            </w:r>
          </w:p>
          <w:p w:rsidR="00000000" w:rsidP="00031CDF">
            <w:pPr>
              <w:pStyle w:val="List2"/>
              <w:rPr>
                <w:lang w:val="en-NZ"/>
              </w:rPr>
            </w:pPr>
            <w:r w:rsidRPr="00031CDF">
              <w:t>2.7.</w:t>
            </w:r>
            <w:r w:rsidRPr="00031CDF">
              <w:tab/>
              <w:t>Recognise and respond to hazardous and emergency situations in accordance with manufac</w:t>
            </w:r>
            <w:r w:rsidRPr="00031CDF">
              <w:t>turer instructions and site procedures</w:t>
            </w:r>
          </w:p>
        </w:tc>
      </w:tr>
      <w:tr w:rsidTr="004648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List"/>
              <w:rPr>
                <w:lang w:val="en-NZ"/>
              </w:rPr>
            </w:pPr>
            <w:r w:rsidRPr="00031CDF">
              <w:t>3.</w:t>
            </w:r>
            <w:r w:rsidRPr="00031CDF">
              <w:tab/>
              <w:t>Carry out conveyor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2"/>
            </w:pPr>
            <w:r w:rsidRPr="00031CDF">
              <w:t>3.1.</w:t>
            </w:r>
            <w:r w:rsidRPr="00031CDF">
              <w:tab/>
              <w:t>Conduct inspection and fault finding in accordance with manufacturer recommendations and site requirements</w:t>
            </w:r>
          </w:p>
          <w:p w:rsidR="00000000" w:rsidRPr="00031CDF" w:rsidP="00031CDF">
            <w:pPr>
              <w:pStyle w:val="List2"/>
            </w:pPr>
            <w:r w:rsidRPr="00031CDF">
              <w:t>3.2.</w:t>
            </w:r>
            <w:r w:rsidRPr="00031CDF">
              <w:tab/>
              <w:t xml:space="preserve">Carry out routine operational servicing, </w:t>
            </w:r>
            <w:r w:rsidRPr="00031CDF">
              <w:t>lubrication and housekee</w:t>
            </w:r>
            <w:r w:rsidRPr="00031CDF">
              <w:t>ping tasks in accordance with manufacturer and site procedures</w:t>
            </w:r>
          </w:p>
          <w:p w:rsidR="00000000" w:rsidRPr="00031CDF" w:rsidP="00031CDF">
            <w:pPr>
              <w:pStyle w:val="List2"/>
            </w:pPr>
            <w:r w:rsidRPr="00031CDF">
              <w:t>3.3.</w:t>
            </w:r>
            <w:r w:rsidRPr="00031CDF">
              <w:tab/>
              <w:t>Carry out minor maintenance to manufacturer and/or site requirements and legislative requirements</w:t>
            </w:r>
          </w:p>
          <w:p w:rsidR="00000000" w:rsidRPr="00031CDF" w:rsidP="00031CDF">
            <w:pPr>
              <w:pStyle w:val="List2"/>
            </w:pPr>
            <w:r w:rsidRPr="00031CDF">
              <w:t>3.4.</w:t>
            </w:r>
            <w:r w:rsidRPr="00031CDF">
              <w:tab/>
              <w:t>Provide operator support during preparation for and conduct of major maintenance task</w:t>
            </w:r>
            <w:r w:rsidRPr="00031CDF">
              <w:t>s, in accordance with site requirements</w:t>
            </w:r>
          </w:p>
          <w:p w:rsidR="00000000" w:rsidRPr="00031CDF" w:rsidP="00031CDF">
            <w:pPr>
              <w:pStyle w:val="List2"/>
            </w:pPr>
            <w:r w:rsidRPr="00031CDF">
              <w:t>3.5.</w:t>
            </w:r>
            <w:r w:rsidRPr="00031CDF">
              <w:tab/>
              <w:t>Maintain records in accordance with site requirements/agreements and legislation</w:t>
            </w:r>
          </w:p>
        </w:tc>
      </w:tr>
    </w:tbl>
    <w:p w:rsidR="00000000" w:rsidRPr="00031CDF" w:rsidP="00031CDF">
      <w:pPr>
        <w:pStyle w:val="BodyText"/>
      </w:pPr>
    </w:p>
    <w:p w:rsidR="00000000" w:rsidRPr="00031CDF" w:rsidP="00031CDF">
      <w:pPr>
        <w:pStyle w:val="AllowPageBreak"/>
      </w:pPr>
    </w:p>
    <w:p w:rsidR="00000000" w:rsidRPr="00031CDF" w:rsidP="00031CDF">
      <w:pPr>
        <w:pStyle w:val="Heading1"/>
      </w:pPr>
      <w:bookmarkStart w:id="9" w:name="O_133055"/>
      <w:bookmarkEnd w:id="9"/>
      <w:r w:rsidRPr="00031CDF">
        <w:t>Required Skills and Knowledge</w:t>
      </w:r>
    </w:p>
    <w:tbl>
      <w:tblPr>
        <w:tblW w:w="0" w:type="auto"/>
        <w:tblLayout w:type="fixed"/>
        <w:tblCellMar>
          <w:left w:w="62" w:type="dxa"/>
          <w:right w:w="62" w:type="dxa"/>
        </w:tblCellMar>
        <w:tblLook w:val="0000"/>
      </w:tblPr>
      <w:tblGrid>
        <w:gridCol w:w="8522"/>
      </w:tblGrid>
      <w:tr w:rsidTr="004648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t>This section describes the skills and knowledge required for this unit.</w:t>
            </w:r>
          </w:p>
        </w:tc>
      </w:tr>
      <w:tr w:rsidTr="004648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Required skills</w:t>
            </w:r>
          </w:p>
        </w:tc>
      </w:tr>
      <w:tr w:rsidTr="004648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t>Specific skills are required to achieve the performance criteria in this unit, particularly for the application in the various circumstances in which this unit may be applied. This includes the ability to carry out the following as require</w:t>
            </w:r>
            <w:r w:rsidRPr="00031CDF">
              <w:t>d to extend, retract and maintain conveyor componentry:</w:t>
            </w:r>
          </w:p>
          <w:p w:rsidR="00000000" w:rsidRPr="00031CDF" w:rsidP="00031CDF">
            <w:pPr>
              <w:pStyle w:val="ListBullet"/>
            </w:pPr>
            <w:r w:rsidRPr="00031CDF">
              <w:t>apply legislative, organisation and site requirements and procedures for extending, retracting and maintaining conveyor componentry</w:t>
            </w:r>
          </w:p>
          <w:p w:rsidR="00000000" w:rsidRPr="00031CDF" w:rsidP="00031CDF">
            <w:pPr>
              <w:pStyle w:val="ListBullet"/>
            </w:pPr>
            <w:r w:rsidRPr="00031CDF">
              <w:t>access, interpret and apply technical and safety information</w:t>
            </w:r>
          </w:p>
          <w:p w:rsidR="00000000" w:rsidRPr="00031CDF" w:rsidP="00031CDF">
            <w:pPr>
              <w:pStyle w:val="ListBullet"/>
            </w:pPr>
            <w:r w:rsidRPr="00031CDF">
              <w:t>interpret and apply survey information and plans</w:t>
            </w:r>
          </w:p>
          <w:p w:rsidR="00000000" w:rsidRPr="00031CDF" w:rsidP="00031CDF">
            <w:pPr>
              <w:pStyle w:val="ListBullet"/>
            </w:pPr>
            <w:r w:rsidRPr="00031CDF">
              <w:t>operate relevant plant and machinery</w:t>
            </w:r>
          </w:p>
          <w:p w:rsidR="00000000" w:rsidRPr="00031CDF" w:rsidP="00031CDF">
            <w:pPr>
              <w:pStyle w:val="ListBullet"/>
            </w:pPr>
            <w:r w:rsidRPr="00031CDF">
              <w:t>communicate and coordinate activities with others</w:t>
            </w:r>
          </w:p>
          <w:p w:rsidR="00000000" w:rsidRPr="00031CDF" w:rsidP="00031CDF">
            <w:pPr>
              <w:pStyle w:val="ListBullet"/>
            </w:pPr>
            <w:r w:rsidRPr="00031CDF">
              <w:t>apply diagnostic / fault finding techniques</w:t>
            </w:r>
          </w:p>
          <w:p w:rsidR="00000000" w:rsidRPr="00031CDF" w:rsidP="00031CDF">
            <w:pPr>
              <w:pStyle w:val="ListBullet"/>
            </w:pPr>
            <w:r w:rsidRPr="00031CDF">
              <w:t>use relevant hand tools</w:t>
            </w:r>
          </w:p>
          <w:p w:rsidR="00000000" w:rsidRPr="00031CDF" w:rsidP="00031CDF">
            <w:pPr>
              <w:pStyle w:val="ListBullet"/>
            </w:pPr>
            <w:r w:rsidRPr="00031CDF">
              <w:t>maintain equipment records</w:t>
            </w:r>
          </w:p>
          <w:p w:rsidR="00000000" w:rsidP="00031CDF">
            <w:pPr>
              <w:pStyle w:val="ListBullet"/>
              <w:rPr>
                <w:lang w:val="en-NZ"/>
              </w:rPr>
            </w:pPr>
            <w:r w:rsidRPr="00031CDF">
              <w:t>comply with environmental</w:t>
            </w:r>
            <w:r w:rsidRPr="00031CDF">
              <w:t xml:space="preserve"> requirements</w:t>
            </w:r>
          </w:p>
        </w:tc>
      </w:tr>
      <w:tr w:rsidTr="004648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Required knowledge</w:t>
            </w:r>
          </w:p>
        </w:tc>
      </w:tr>
      <w:tr w:rsidTr="004648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t>Specific knowledge is required to achieve the Performance Criteria of this unit, particularly its application in a variety of circumstances in which the unit may be used. This includes knowledge of the following, as requi</w:t>
            </w:r>
            <w:r w:rsidRPr="00031CDF">
              <w:t>red to extend, retract and maintain conveyor componentry:</w:t>
            </w:r>
          </w:p>
          <w:p w:rsidR="00000000" w:rsidRPr="00031CDF" w:rsidP="00031CDF">
            <w:pPr>
              <w:pStyle w:val="ListBullet"/>
            </w:pPr>
            <w:r w:rsidRPr="00031CDF">
              <w:t>operational safety requirements</w:t>
            </w:r>
          </w:p>
          <w:p w:rsidR="00000000" w:rsidRPr="00031CDF" w:rsidP="00031CDF">
            <w:pPr>
              <w:pStyle w:val="ListBullet"/>
            </w:pPr>
            <w:r w:rsidRPr="00031CDF">
              <w:t>mine operational procedures</w:t>
            </w:r>
          </w:p>
          <w:p w:rsidR="00000000" w:rsidRPr="00031CDF" w:rsidP="00031CDF">
            <w:pPr>
              <w:pStyle w:val="ListBullet"/>
            </w:pPr>
            <w:r w:rsidRPr="00031CDF">
              <w:t>conveyor operations and componentry</w:t>
            </w:r>
          </w:p>
          <w:p w:rsidR="00000000" w:rsidRPr="00031CDF" w:rsidP="00031CDF">
            <w:pPr>
              <w:pStyle w:val="ListBullet"/>
            </w:pPr>
            <w:r w:rsidRPr="00031CDF">
              <w:t>relevant conveyor assembly procedures</w:t>
            </w:r>
          </w:p>
          <w:p w:rsidR="00000000" w:rsidRPr="00031CDF" w:rsidP="00031CDF">
            <w:pPr>
              <w:pStyle w:val="ListBullet"/>
            </w:pPr>
            <w:r w:rsidRPr="00031CDF">
              <w:t>relevant geological and survey information</w:t>
            </w:r>
          </w:p>
          <w:p w:rsidR="00000000" w:rsidRPr="00031CDF" w:rsidP="00031CDF">
            <w:pPr>
              <w:pStyle w:val="ListBullet"/>
            </w:pPr>
            <w:r w:rsidRPr="00031CDF">
              <w:t>conveyor maintenance requirements</w:t>
            </w:r>
          </w:p>
          <w:p w:rsidR="00000000" w:rsidRPr="00031CDF" w:rsidP="00031CDF">
            <w:pPr>
              <w:pStyle w:val="ListBullet"/>
            </w:pPr>
            <w:r w:rsidRPr="00031CDF">
              <w:t>site environment requirements and constraints related to conveyor work</w:t>
            </w:r>
          </w:p>
        </w:tc>
      </w:tr>
    </w:tbl>
    <w:p w:rsidR="00000000" w:rsidRPr="00031CDF" w:rsidP="00031CDF">
      <w:pPr>
        <w:pStyle w:val="BodyText"/>
      </w:pPr>
    </w:p>
    <w:p w:rsidR="00000000" w:rsidRPr="00031CDF" w:rsidP="00031CDF">
      <w:pPr>
        <w:pStyle w:val="AllowPageBreak"/>
      </w:pPr>
    </w:p>
    <w:p w:rsidR="00000000" w:rsidRPr="00031CDF" w:rsidP="00031CDF">
      <w:pPr>
        <w:pStyle w:val="Heading1"/>
      </w:pPr>
      <w:bookmarkStart w:id="10" w:name="O_133056"/>
      <w:bookmarkEnd w:id="10"/>
      <w:r w:rsidRPr="00031CDF">
        <w:t>Evidence Guide</w:t>
      </w:r>
    </w:p>
    <w:tbl>
      <w:tblPr>
        <w:tblW w:w="0" w:type="auto"/>
        <w:tblLayout w:type="fixed"/>
        <w:tblCellMar>
          <w:left w:w="62" w:type="dxa"/>
          <w:right w:w="62" w:type="dxa"/>
        </w:tblCellMar>
        <w:tblLook w:val="0000"/>
      </w:tblPr>
      <w:tblGrid>
        <w:gridCol w:w="3448"/>
        <w:gridCol w:w="5074"/>
      </w:tblGrid>
      <w:tr w:rsidTr="004648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t>The evidence guide provides advice on assessment and must be read in conjunction with the performance criteria, requi</w:t>
            </w:r>
            <w:r w:rsidRPr="00031CDF">
              <w:t>red skills and knowledge, range statement and the Assessment Guidelines for the Training Package.</w:t>
            </w:r>
          </w:p>
        </w:tc>
      </w:tr>
      <w:tr w:rsidTr="004648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p>
        </w:tc>
      </w:tr>
      <w:tr w:rsidTr="004648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t>The evidence required to demonstrate competency in this unit must be relevant to worksite operations and satisfy all of the requirements of the performance criteria, required skills and knowledge and the range statement of this unit and include evidence of</w:t>
            </w:r>
            <w:r w:rsidRPr="00031CDF">
              <w:t xml:space="preserve"> the following:</w:t>
            </w:r>
          </w:p>
          <w:p w:rsidR="00000000" w:rsidRPr="00031CDF" w:rsidP="00031CDF">
            <w:pPr>
              <w:pStyle w:val="ListBullet"/>
            </w:pPr>
            <w:r w:rsidRPr="00031CDF">
              <w:t>knowledge of the requirements, procedures and instructions for extending, retracting and maintaining conveyor componentry</w:t>
            </w:r>
          </w:p>
          <w:p w:rsidR="00000000" w:rsidRPr="00031CDF" w:rsidP="00031CDF">
            <w:pPr>
              <w:pStyle w:val="ListBullet"/>
            </w:pPr>
            <w:r w:rsidRPr="00031CDF">
              <w:t>implementation of requirements, procedures and techniques for the safe, effective and efficient completion of extensi</w:t>
            </w:r>
            <w:r w:rsidRPr="00031CDF">
              <w:t>on, retraction and maintenance of conveyor componentry</w:t>
            </w:r>
          </w:p>
          <w:p w:rsidR="00000000" w:rsidRPr="00031CDF" w:rsidP="00031CDF">
            <w:pPr>
              <w:pStyle w:val="ListBullet"/>
            </w:pPr>
            <w:r w:rsidRPr="00031CDF">
              <w:t>working with others to undertake and complete the extension, retraction and maintenance of conveyor componentry that meets all of the required outcomes</w:t>
            </w:r>
          </w:p>
          <w:p w:rsidR="00000000" w:rsidP="00031CDF">
            <w:pPr>
              <w:pStyle w:val="ListBullet"/>
              <w:rPr>
                <w:lang w:val="en-NZ"/>
              </w:rPr>
            </w:pPr>
            <w:r w:rsidRPr="00031CDF">
              <w:t>consistent timely completion of extension, retrac</w:t>
            </w:r>
            <w:r w:rsidRPr="00031CDF">
              <w:t>tion and maintenance of conveyor componentry that safely, effectively and efficiently meets the required outcomes</w:t>
            </w:r>
          </w:p>
        </w:tc>
      </w:tr>
      <w:tr w:rsidTr="004648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 xml:space="preserve">This unit must be assessed in the context of the work environment. Where personal </w:t>
            </w:r>
            <w:r w:rsidRPr="00031CDF">
              <w:t>safety or environmental damage are limiting factors, assessment may occur in a simulated environment provided it is realistic and sufficiently rigorous to cover all aspects of workplace performance, including task skills, task management skills, contingenc</w:t>
            </w:r>
            <w:r w:rsidRPr="00031CDF">
              <w:t>y management skills and job role environment skills.</w:t>
            </w:r>
          </w:p>
          <w:p w:rsidR="00000000" w:rsidRPr="00031CDF" w:rsidP="00031CDF">
            <w:pPr>
              <w:pStyle w:val="ListBullet"/>
            </w:pPr>
            <w:r w:rsidRPr="00031CDF">
              <w:t>Evidence for assessment is best gathered using the outcomes of products and processes in the workplace.</w:t>
            </w:r>
          </w:p>
          <w:p w:rsidR="00000000" w:rsidRPr="00031CDF" w:rsidP="00031CDF">
            <w:pPr>
              <w:pStyle w:val="ListBullet"/>
            </w:pPr>
            <w:r w:rsidRPr="00031CDF">
              <w:t>The assessment environment should not disadvantage the participant. For example, language, literacy</w:t>
            </w:r>
            <w:r w:rsidRPr="00031CDF">
              <w:t xml:space="preserve"> and numeracy demands of assessment should not be greater than those required on the job.</w:t>
            </w:r>
          </w:p>
          <w:p w:rsidR="00000000" w:rsidRPr="00031CDF" w:rsidP="00031CDF">
            <w:pPr>
              <w:pStyle w:val="ListBullet"/>
            </w:pPr>
            <w:r w:rsidRPr="00031CDF">
              <w:t>Customisation of assessment and delivery environment to sensitively accommodate cultural diversity.</w:t>
            </w:r>
          </w:p>
          <w:p w:rsidR="00000000" w:rsidRPr="00031CDF" w:rsidP="00031CDF">
            <w:pPr>
              <w:pStyle w:val="ListBullet"/>
            </w:pPr>
            <w:r w:rsidRPr="00031CDF">
              <w:t>Aboriginal people and other people from a non English speaking bac</w:t>
            </w:r>
            <w:r w:rsidRPr="00031CDF">
              <w:t>kground may have second language issues</w:t>
            </w:r>
          </w:p>
          <w:p w:rsidR="00000000" w:rsidRPr="00031CDF" w:rsidP="00031CDF">
            <w:pPr>
              <w:pStyle w:val="ListBullet"/>
            </w:pPr>
            <w:r w:rsidRPr="00031CDF">
              <w:t>Assessment of this competency requires typical resources normally used in a resources and infrastructure sector environment. Selection and use of resources for particular worksites may differ due to the site circumst</w:t>
            </w:r>
            <w:r w:rsidRPr="00031CDF">
              <w:t>ances.</w:t>
            </w:r>
          </w:p>
          <w:p w:rsidR="00000000" w:rsidRPr="00031CDF" w:rsidP="00031CDF">
            <w:pPr>
              <w:pStyle w:val="ListBullet"/>
            </w:pPr>
            <w:r w:rsidRPr="00031CDF">
              <w:t>Where applicable, physical resources should include equipment modified for people with disabilities.</w:t>
            </w:r>
          </w:p>
          <w:p w:rsidR="00000000" w:rsidP="00031CDF">
            <w:pPr>
              <w:pStyle w:val="ListBullet"/>
              <w:rPr>
                <w:lang w:val="en-NZ"/>
              </w:rPr>
            </w:pPr>
            <w:r w:rsidRPr="00031CDF">
              <w:t>Access must be provided to appropriate learning and/or assessment support when required.</w:t>
            </w:r>
          </w:p>
        </w:tc>
      </w:tr>
      <w:tr w:rsidTr="004648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t>This unit may be assessed in a holist</w:t>
            </w:r>
            <w:r w:rsidRPr="00031CDF">
              <w:t xml:space="preserve">ic way with other units of competency.  The assessment strategy for this unit must verify required knowledge and skill and practical application using more than one of the following assessment methods: </w:t>
            </w:r>
          </w:p>
          <w:p w:rsidR="00000000" w:rsidRPr="00031CDF" w:rsidP="00031CDF">
            <w:pPr>
              <w:pStyle w:val="ListBullet"/>
            </w:pPr>
            <w:r w:rsidRPr="00031CDF">
              <w:t>written and/or oral assessment of the candidate's re</w:t>
            </w:r>
            <w:r w:rsidRPr="00031CDF">
              <w:t>quired knowledge</w:t>
            </w:r>
          </w:p>
          <w:p w:rsidR="00000000" w:rsidRPr="00031CDF" w:rsidP="00031CDF">
            <w:pPr>
              <w:pStyle w:val="ListBullet"/>
            </w:pPr>
            <w:r w:rsidRPr="00031CDF">
              <w:t>observed, documented and/or first hand testimonial evidence of the candidate's:</w:t>
            </w:r>
          </w:p>
          <w:p w:rsidR="00000000" w:rsidRPr="00031CDF" w:rsidP="00031CDF">
            <w:pPr>
              <w:pStyle w:val="ListBullet2"/>
            </w:pPr>
            <w:r w:rsidRPr="00031CDF">
              <w:t>implementation of appropriate requirement, procedures and techniques for the safe, effective and efficient achievement of required outcomes</w:t>
            </w:r>
          </w:p>
          <w:p w:rsidR="00000000" w:rsidRPr="00031CDF" w:rsidP="00031CDF">
            <w:pPr>
              <w:pStyle w:val="ListBullet2"/>
            </w:pPr>
            <w:r w:rsidRPr="00031CDF">
              <w:t>consistently achieving the required outcomes</w:t>
            </w:r>
          </w:p>
          <w:p w:rsidR="00000000" w:rsidRPr="00031CDF" w:rsidP="00031CDF">
            <w:pPr>
              <w:pStyle w:val="ListBullet"/>
            </w:pPr>
            <w:r w:rsidRPr="00031CDF">
              <w:t>first hand testimonial evidence of the candidate's:</w:t>
            </w:r>
          </w:p>
          <w:p w:rsidR="00000000" w:rsidP="00031CDF">
            <w:pPr>
              <w:pStyle w:val="ListBullet2"/>
              <w:rPr>
                <w:lang w:val="en-NZ"/>
              </w:rPr>
            </w:pPr>
            <w:r w:rsidRPr="00031CDF">
              <w:t>working with others to undertake and complete the insert unit information</w:t>
            </w:r>
          </w:p>
        </w:tc>
      </w:tr>
      <w:tr w:rsidTr="004648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BodyText"/>
            </w:pPr>
            <w:r w:rsidRPr="00031CDF">
              <w:t>Consult the SkillsDMC User Guide for further information on assessment including access and equity issues.</w:t>
            </w:r>
          </w:p>
        </w:tc>
      </w:tr>
    </w:tbl>
    <w:p w:rsidR="00000000" w:rsidRPr="00031CDF" w:rsidP="00031CDF">
      <w:pPr>
        <w:pStyle w:val="BodyText"/>
      </w:pPr>
    </w:p>
    <w:p w:rsidR="00000000" w:rsidRPr="00031CDF" w:rsidP="00031CDF">
      <w:pPr>
        <w:pStyle w:val="AllowPageBreak"/>
      </w:pPr>
    </w:p>
    <w:p w:rsidR="00000000" w:rsidRPr="00031CDF" w:rsidP="00031CDF">
      <w:pPr>
        <w:pStyle w:val="Heading1"/>
      </w:pPr>
      <w:bookmarkStart w:id="11" w:name="O_133057"/>
      <w:bookmarkEnd w:id="11"/>
      <w:r w:rsidRPr="00031CDF">
        <w:t>Range Statement</w:t>
      </w:r>
    </w:p>
    <w:tbl>
      <w:tblPr>
        <w:tblW w:w="0" w:type="auto"/>
        <w:tblLayout w:type="fixed"/>
        <w:tblCellMar>
          <w:left w:w="62" w:type="dxa"/>
          <w:right w:w="62" w:type="dxa"/>
        </w:tblCellMar>
        <w:tblLook w:val="0000"/>
      </w:tblPr>
      <w:tblGrid>
        <w:gridCol w:w="3522"/>
        <w:gridCol w:w="5000"/>
      </w:tblGrid>
      <w:tr w:rsidTr="004648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t>The range statement relates to the unit of competency as a whole. It allows for different work environments and si</w:t>
            </w:r>
            <w:r w:rsidRPr="00031CDF">
              <w:t>tuations that may affect performance. Bold italicised wording, if used in the performance criteria, is detailed below. Essential operating conditions that may be present with training and assessment (depending on the work situation, needs of the candidate,</w:t>
            </w:r>
            <w:r w:rsidRPr="00031CDF">
              <w:t xml:space="preserve"> accessibility of the item, and local industry and regional contexts) may also be included.</w:t>
            </w:r>
          </w:p>
        </w:tc>
      </w:tr>
      <w:tr w:rsidTr="004648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Relevant compliance documentation</w:t>
            </w:r>
            <w:r w:rsidRPr="00031CD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legislative, organisational and site requirements and procedures</w:t>
            </w:r>
          </w:p>
          <w:p w:rsidR="00000000" w:rsidRPr="00031CDF" w:rsidP="00031CDF">
            <w:pPr>
              <w:pStyle w:val="ListBullet"/>
            </w:pPr>
            <w:r w:rsidRPr="00031CDF">
              <w:t xml:space="preserve">manufacturer's guidelines and specifications </w:t>
            </w:r>
          </w:p>
          <w:p w:rsidR="00000000" w:rsidRPr="00031CDF" w:rsidP="00031CDF">
            <w:pPr>
              <w:pStyle w:val="ListBullet"/>
            </w:pPr>
            <w:r w:rsidRPr="00031CDF">
              <w:t>Australian standards</w:t>
            </w:r>
          </w:p>
          <w:p w:rsidR="00000000" w:rsidRPr="00031CDF" w:rsidP="00031CDF">
            <w:pPr>
              <w:pStyle w:val="ListBullet"/>
            </w:pPr>
            <w:r w:rsidRPr="00031CDF">
              <w:t>Employment and workplace relations legislation</w:t>
            </w:r>
          </w:p>
          <w:p w:rsidR="00000000" w:rsidP="00031CDF">
            <w:pPr>
              <w:pStyle w:val="ListBullet"/>
              <w:rPr>
                <w:lang w:val="en-NZ"/>
              </w:rPr>
            </w:pPr>
            <w:r w:rsidRPr="00031CDF">
              <w:t>Equal Employment Opportunity and Disability Discrimination legislation</w:t>
            </w:r>
          </w:p>
        </w:tc>
      </w:tr>
      <w:tr w:rsidTr="004648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Work requirements</w:t>
            </w:r>
            <w:r w:rsidRPr="00031CDF">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shift briefings</w:t>
            </w:r>
          </w:p>
          <w:p w:rsidR="00000000" w:rsidRPr="00031CDF" w:rsidP="00031CDF">
            <w:pPr>
              <w:pStyle w:val="ListBullet"/>
            </w:pPr>
            <w:r w:rsidRPr="00031CDF">
              <w:t>handover details</w:t>
            </w:r>
          </w:p>
          <w:p w:rsidR="00000000" w:rsidRPr="00031CDF" w:rsidP="00031CDF">
            <w:pPr>
              <w:pStyle w:val="ListBullet"/>
            </w:pPr>
            <w:r w:rsidRPr="00031CDF">
              <w:t>work orders</w:t>
            </w:r>
          </w:p>
          <w:p w:rsidR="00000000" w:rsidRPr="00031CDF" w:rsidP="00031CDF">
            <w:pPr>
              <w:pStyle w:val="ListBullet"/>
            </w:pPr>
            <w:r w:rsidRPr="00031CDF">
              <w:t>safe working procedures (or e</w:t>
            </w:r>
            <w:r w:rsidRPr="00031CDF">
              <w:t>quivalent)</w:t>
            </w:r>
          </w:p>
          <w:p w:rsidR="00000000" w:rsidRPr="00031CDF" w:rsidP="00031CDF">
            <w:pPr>
              <w:pStyle w:val="ListBullet"/>
            </w:pPr>
            <w:r w:rsidRPr="00031CDF">
              <w:t>nature and scope of the job</w:t>
            </w:r>
          </w:p>
          <w:p w:rsidR="00000000" w:rsidRPr="00031CDF" w:rsidP="00031CDF">
            <w:pPr>
              <w:pStyle w:val="ListBullet"/>
            </w:pPr>
            <w:r w:rsidRPr="00031CDF">
              <w:t>hazards and work environment</w:t>
            </w:r>
          </w:p>
          <w:p w:rsidR="00000000" w:rsidRPr="00031CDF" w:rsidP="00031CDF">
            <w:pPr>
              <w:pStyle w:val="ListBullet"/>
            </w:pPr>
            <w:r w:rsidRPr="00031CDF">
              <w:t>related work activities</w:t>
            </w:r>
          </w:p>
          <w:p w:rsidR="00000000" w:rsidRPr="00031CDF" w:rsidP="00031CDF">
            <w:pPr>
              <w:pStyle w:val="ListBullet"/>
            </w:pPr>
            <w:r w:rsidRPr="00031CDF">
              <w:t xml:space="preserve">sequencing </w:t>
            </w:r>
          </w:p>
          <w:p w:rsidR="00000000" w:rsidP="00031CDF">
            <w:pPr>
              <w:pStyle w:val="ListBullet"/>
              <w:rPr>
                <w:lang w:val="en-NZ"/>
              </w:rPr>
            </w:pPr>
            <w:r w:rsidRPr="00031CDF">
              <w:t>site access</w:t>
            </w:r>
          </w:p>
        </w:tc>
      </w:tr>
      <w:tr w:rsidTr="004648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Safety information and procedures</w:t>
            </w:r>
            <w:r w:rsidRPr="00031CDF">
              <w:t xml:space="preserve"> may be contained in: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legislation and regulations</w:t>
            </w:r>
          </w:p>
          <w:p w:rsidR="00000000" w:rsidRPr="00031CDF" w:rsidP="00031CDF">
            <w:pPr>
              <w:pStyle w:val="ListBullet"/>
            </w:pPr>
            <w:r w:rsidRPr="00031CDF">
              <w:t>relevant Australian standards</w:t>
            </w:r>
          </w:p>
          <w:p w:rsidR="00000000" w:rsidRPr="00031CDF" w:rsidP="00031CDF">
            <w:pPr>
              <w:pStyle w:val="ListBullet"/>
            </w:pPr>
            <w:r w:rsidRPr="00031CDF">
              <w:t>management plans</w:t>
            </w:r>
          </w:p>
          <w:p w:rsidR="00000000" w:rsidRPr="00031CDF" w:rsidP="00031CDF">
            <w:pPr>
              <w:pStyle w:val="ListBullet"/>
            </w:pPr>
            <w:r w:rsidRPr="00031CDF">
              <w:t>OHS policy</w:t>
            </w:r>
          </w:p>
          <w:p w:rsidR="00000000" w:rsidRPr="00031CDF" w:rsidP="00031CDF">
            <w:pPr>
              <w:pStyle w:val="ListBullet"/>
            </w:pPr>
            <w:r w:rsidRPr="00031CDF">
              <w:t xml:space="preserve">code of practice </w:t>
            </w:r>
          </w:p>
          <w:p w:rsidR="00000000" w:rsidRPr="00031CDF" w:rsidP="00031CDF">
            <w:pPr>
              <w:pStyle w:val="ListBullet"/>
            </w:pPr>
            <w:r w:rsidRPr="00031CDF">
              <w:t>manufacturer instructions</w:t>
            </w:r>
          </w:p>
          <w:p w:rsidR="00000000" w:rsidP="00031CDF">
            <w:pPr>
              <w:pStyle w:val="ListBullet"/>
              <w:rPr>
                <w:lang w:val="en-NZ"/>
              </w:rPr>
            </w:pPr>
            <w:r w:rsidRPr="00031CDF">
              <w:t>safe working procedures (or equivalent)</w:t>
            </w:r>
          </w:p>
        </w:tc>
      </w:tr>
      <w:tr w:rsidTr="004648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Safe work environment</w:t>
            </w:r>
            <w:r w:rsidRPr="00031CDF">
              <w:t xml:space="preserve"> includes: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isolation</w:t>
            </w:r>
          </w:p>
          <w:p w:rsidR="00000000" w:rsidRPr="00031CDF" w:rsidP="00031CDF">
            <w:pPr>
              <w:pStyle w:val="ListBullet"/>
            </w:pPr>
            <w:r w:rsidRPr="00031CDF">
              <w:t>tagging</w:t>
            </w:r>
          </w:p>
          <w:p w:rsidR="00000000" w:rsidRPr="00031CDF" w:rsidP="00031CDF">
            <w:pPr>
              <w:pStyle w:val="ListBullet"/>
            </w:pPr>
            <w:r w:rsidRPr="00031CDF">
              <w:t>restoration after isolation</w:t>
            </w:r>
          </w:p>
          <w:p w:rsidR="00000000" w:rsidP="00031CDF">
            <w:pPr>
              <w:pStyle w:val="ListBullet"/>
              <w:rPr>
                <w:lang w:val="en-NZ"/>
              </w:rPr>
            </w:pPr>
            <w:r w:rsidRPr="00031CDF">
              <w:t>dust suppression</w:t>
            </w:r>
          </w:p>
        </w:tc>
      </w:tr>
      <w:tr w:rsidTr="004648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Conveyor componentry</w:t>
            </w:r>
            <w:r w:rsidRPr="00031CDF">
              <w:t xml:space="preserve"> may include: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belt</w:t>
            </w:r>
          </w:p>
          <w:p w:rsidR="00000000" w:rsidRPr="00031CDF" w:rsidP="00031CDF">
            <w:pPr>
              <w:pStyle w:val="ListBullet"/>
            </w:pPr>
            <w:r w:rsidRPr="00031CDF">
              <w:t>rollers</w:t>
            </w:r>
          </w:p>
          <w:p w:rsidR="00000000" w:rsidRPr="00031CDF" w:rsidP="00031CDF">
            <w:pPr>
              <w:pStyle w:val="ListBullet"/>
            </w:pPr>
            <w:r w:rsidRPr="00031CDF">
              <w:t>structures</w:t>
            </w:r>
          </w:p>
          <w:p w:rsidR="00000000" w:rsidRPr="00031CDF" w:rsidP="00031CDF">
            <w:pPr>
              <w:pStyle w:val="ListBullet"/>
            </w:pPr>
            <w:r w:rsidRPr="00031CDF">
              <w:t>lock-outs</w:t>
            </w:r>
          </w:p>
          <w:p w:rsidR="00000000" w:rsidRPr="00031CDF" w:rsidP="00031CDF">
            <w:pPr>
              <w:pStyle w:val="ListBullet"/>
            </w:pPr>
            <w:r w:rsidRPr="00031CDF">
              <w:t>belt control equipment</w:t>
            </w:r>
          </w:p>
          <w:p w:rsidR="00000000" w:rsidRPr="00031CDF" w:rsidP="00031CDF">
            <w:pPr>
              <w:pStyle w:val="ListBullet"/>
            </w:pPr>
            <w:r w:rsidRPr="00031CDF">
              <w:t xml:space="preserve">safety equipment </w:t>
            </w:r>
          </w:p>
          <w:p w:rsidR="00000000" w:rsidP="00031CDF">
            <w:pPr>
              <w:pStyle w:val="ListBullet"/>
              <w:rPr>
                <w:lang w:val="en-NZ"/>
              </w:rPr>
            </w:pPr>
            <w:r w:rsidRPr="00031CDF">
              <w:t>hand tools</w:t>
            </w:r>
          </w:p>
        </w:tc>
      </w:tr>
      <w:tr w:rsidTr="004648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CDF">
            <w:pPr>
              <w:pStyle w:val="BodyText"/>
              <w:rPr>
                <w:lang w:val="en-NZ"/>
              </w:rPr>
            </w:pPr>
            <w:r w:rsidRPr="00031CDF">
              <w:rPr>
                <w:rStyle w:val="SpecialBold"/>
              </w:rPr>
              <w:t>Operator</w:t>
            </w:r>
            <w:r w:rsidRPr="00031CDF">
              <w:t xml:space="preserve"> (</w:t>
            </w:r>
            <w:r w:rsidRPr="00031CDF">
              <w:rPr>
                <w:rStyle w:val="SpecialBold"/>
              </w:rPr>
              <w:t>operational</w:t>
            </w:r>
            <w:r w:rsidRPr="00031CDF">
              <w:t xml:space="preserve">) </w:t>
            </w:r>
            <w:r w:rsidRPr="00031CDF">
              <w:rPr>
                <w:rStyle w:val="SpecialBold"/>
              </w:rPr>
              <w:t>maintenance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CDF" w:rsidP="00031CDF">
            <w:pPr>
              <w:pStyle w:val="ListBullet"/>
            </w:pPr>
            <w:r w:rsidRPr="00031CDF">
              <w:t>procedures are those established and authorised for the site</w:t>
            </w:r>
          </w:p>
        </w:tc>
      </w:tr>
    </w:tbl>
    <w:p w:rsidR="00000000" w:rsidRPr="00031CDF" w:rsidP="00031CDF">
      <w:pPr>
        <w:pStyle w:val="BodyText"/>
      </w:pPr>
    </w:p>
    <w:p w:rsidR="00000000" w:rsidRPr="00031CDF" w:rsidP="00031CDF">
      <w:pPr>
        <w:pStyle w:val="AllowPageBreak"/>
      </w:pPr>
    </w:p>
    <w:p w:rsidR="00000000" w:rsidRPr="00031CDF" w:rsidP="00031CDF">
      <w:pPr>
        <w:pStyle w:val="Heading1"/>
      </w:pPr>
      <w:bookmarkStart w:id="12" w:name="O_133058"/>
      <w:bookmarkEnd w:id="12"/>
      <w:r w:rsidRPr="00031CDF">
        <w:t>Unit Sector(s)</w:t>
      </w:r>
    </w:p>
    <w:p w:rsidR="00000000" w:rsidRPr="00031CDF" w:rsidP="00031CDF">
      <w:pPr>
        <w:pStyle w:val="BodyText"/>
      </w:pPr>
      <w:r w:rsidRPr="00031CDF">
        <w:t>Coal Mining (General)</w:t>
      </w:r>
    </w:p>
    <w:p w:rsidR="00000000" w:rsidRPr="00031CDF" w:rsidP="00031CDF">
      <w:pPr>
        <w:pStyle w:val="AllowPageBreak"/>
      </w:pPr>
    </w:p>
    <w:p w:rsidR="00000000" w:rsidRPr="00031CDF" w:rsidP="00031CDF">
      <w:pPr>
        <w:pStyle w:val="Heading1"/>
      </w:pPr>
      <w:bookmarkStart w:id="13" w:name="O_161963"/>
      <w:bookmarkEnd w:id="13"/>
      <w:r w:rsidRPr="00031CDF">
        <w:t>Competency field</w:t>
      </w:r>
    </w:p>
    <w:p w:rsidR="00000000" w:rsidRPr="00031CDF" w:rsidP="00031CDF">
      <w:pPr>
        <w:pStyle w:val="BodyText"/>
      </w:pPr>
      <w:r w:rsidRPr="00031CDF">
        <w:t>Refer to Unit Sector(s).</w:t>
      </w:r>
    </w:p>
    <w:p w:rsidR="00000000" w:rsidRPr="00031CDF" w:rsidP="00031CDF">
      <w:pPr>
        <w:pStyle w:val="AllowPageBreak"/>
      </w:pPr>
    </w:p>
    <w:p w:rsidR="00000000" w:rsidRPr="00031CDF" w:rsidP="00031CDF">
      <w:pPr>
        <w:pStyle w:val="Heading1"/>
      </w:pPr>
      <w:bookmarkStart w:id="14" w:name="O_161962"/>
      <w:bookmarkEnd w:id="14"/>
      <w:r w:rsidRPr="00031CDF">
        <w:t>Co-requisite units</w:t>
      </w:r>
    </w:p>
    <w:p w:rsidR="00000000" w:rsidRPr="00031CDF" w:rsidP="00031CDF">
      <w:pPr>
        <w:pStyle w:val="BodyText"/>
      </w:pPr>
      <w:r w:rsidRPr="00031CDF">
        <w:t>Not applicable.</w:t>
      </w:r>
    </w:p>
    <w:p w:rsidR="00000000" w:rsidRPr="00031CDF" w:rsidP="00031CDF"/>
    <w:sectPr w:rsidSect="0003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8FA" w:rsidP="00464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FA" w:rsidP="0003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48FA" w:rsidP="0003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648FA" w:rsidP="0003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DF" w:rsidRPr="004648FA" w:rsidP="004648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FA" w:rsidP="00031CDF">
    <w:pPr>
      <w:pStyle w:val="Header"/>
      <w:framePr w:wrap="around"/>
    </w:pPr>
    <w:r>
      <w:fldChar w:fldCharType="begin"/>
    </w:r>
    <w:r>
      <w:instrText xml:space="preserve"> TITLE   \* MERGEFORMAT </w:instrText>
    </w:r>
    <w:r>
      <w:fldChar w:fldCharType="separate"/>
    </w:r>
    <w:r>
      <w:t>RIIPEO208A Extend, retract and maintain conveyor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8FA" w:rsidP="00031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E1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AEF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40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CDF"/>
    <w:pPr>
      <w:spacing w:before="360" w:after="60"/>
      <w:outlineLvl w:val="0"/>
    </w:pPr>
    <w:rPr>
      <w:sz w:val="32"/>
    </w:rPr>
  </w:style>
  <w:style w:type="paragraph" w:styleId="Heading2">
    <w:name w:val="heading 2"/>
    <w:basedOn w:val="HeadingBase"/>
    <w:next w:val="BodyText"/>
    <w:link w:val="Heading2Char"/>
    <w:qFormat/>
    <w:rsid w:val="00031CDF"/>
    <w:pPr>
      <w:keepLines/>
      <w:spacing w:before="240" w:after="120"/>
      <w:outlineLvl w:val="1"/>
    </w:pPr>
    <w:rPr>
      <w:sz w:val="28"/>
      <w:szCs w:val="40"/>
    </w:rPr>
  </w:style>
  <w:style w:type="paragraph" w:styleId="Heading3">
    <w:name w:val="heading 3"/>
    <w:basedOn w:val="HeadingBase"/>
    <w:next w:val="BodyText"/>
    <w:link w:val="Heading3Char"/>
    <w:qFormat/>
    <w:rsid w:val="00031CDF"/>
    <w:pPr>
      <w:spacing w:before="180" w:after="120"/>
      <w:outlineLvl w:val="2"/>
    </w:pPr>
    <w:rPr>
      <w:spacing w:val="-10"/>
      <w:kern w:val="32"/>
    </w:rPr>
  </w:style>
  <w:style w:type="paragraph" w:styleId="Heading4">
    <w:name w:val="heading 4"/>
    <w:basedOn w:val="HeadingBase"/>
    <w:next w:val="BodyText"/>
    <w:link w:val="Heading4Char"/>
    <w:qFormat/>
    <w:rsid w:val="00031CDF"/>
    <w:pPr>
      <w:spacing w:before="160" w:after="120"/>
      <w:outlineLvl w:val="3"/>
    </w:pPr>
    <w:rPr>
      <w:sz w:val="22"/>
    </w:rPr>
  </w:style>
  <w:style w:type="paragraph" w:styleId="Heading5">
    <w:name w:val="heading 5"/>
    <w:basedOn w:val="HeadingBase"/>
    <w:next w:val="Normal"/>
    <w:link w:val="Heading5Char"/>
    <w:qFormat/>
    <w:rsid w:val="00031CDF"/>
    <w:pPr>
      <w:spacing w:before="80"/>
      <w:outlineLvl w:val="4"/>
    </w:pPr>
    <w:rPr>
      <w:color w:val="918585"/>
      <w:sz w:val="20"/>
    </w:rPr>
  </w:style>
  <w:style w:type="paragraph" w:styleId="Heading6">
    <w:name w:val="heading 6"/>
    <w:basedOn w:val="HeadingBase"/>
    <w:next w:val="Normal"/>
    <w:link w:val="Heading6Char"/>
    <w:qFormat/>
    <w:rsid w:val="00031CDF"/>
    <w:pPr>
      <w:spacing w:before="60"/>
      <w:outlineLvl w:val="5"/>
    </w:pPr>
    <w:rPr>
      <w:color w:val="918585"/>
      <w:sz w:val="20"/>
    </w:rPr>
  </w:style>
  <w:style w:type="paragraph" w:styleId="Heading7">
    <w:name w:val="heading 7"/>
    <w:basedOn w:val="Normal"/>
    <w:next w:val="Normal"/>
    <w:link w:val="Heading7Char"/>
    <w:qFormat/>
    <w:rsid w:val="00031CDF"/>
    <w:pPr>
      <w:ind w:left="720"/>
      <w:outlineLvl w:val="6"/>
    </w:pPr>
    <w:rPr>
      <w:i/>
    </w:rPr>
  </w:style>
  <w:style w:type="paragraph" w:styleId="Heading8">
    <w:name w:val="heading 8"/>
    <w:basedOn w:val="Normal"/>
    <w:next w:val="Normal"/>
    <w:link w:val="Heading8Char"/>
    <w:qFormat/>
    <w:rsid w:val="00031CDF"/>
    <w:pPr>
      <w:ind w:left="720"/>
      <w:outlineLvl w:val="7"/>
    </w:pPr>
    <w:rPr>
      <w:i/>
    </w:rPr>
  </w:style>
  <w:style w:type="paragraph" w:styleId="Heading9">
    <w:name w:val="heading 9"/>
    <w:basedOn w:val="Normal"/>
    <w:next w:val="Normal"/>
    <w:link w:val="Heading9Char"/>
    <w:qFormat/>
    <w:rsid w:val="00031CDF"/>
    <w:pPr>
      <w:ind w:left="720"/>
      <w:outlineLvl w:val="8"/>
    </w:pPr>
    <w:rPr>
      <w:i/>
    </w:rPr>
  </w:style>
  <w:style w:type="character" w:default="1" w:styleId="DefaultParagraphFont">
    <w:name w:val="Default Paragraph Font"/>
    <w:uiPriority w:val="1"/>
    <w:unhideWhenUsed/>
    <w:rsid w:val="0003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CDF"/>
  </w:style>
  <w:style w:type="character" w:customStyle="1" w:styleId="Heading1Char">
    <w:name w:val="Heading 1 Char"/>
    <w:link w:val="Heading1"/>
    <w:rsid w:val="00031CDF"/>
    <w:rPr>
      <w:rFonts w:ascii="Times New Roman" w:eastAsia="Times New Roman" w:hAnsi="Times New Roman" w:cs="Times New Roman"/>
      <w:b/>
      <w:sz w:val="32"/>
      <w:szCs w:val="20"/>
      <w:lang w:eastAsia="en-US"/>
    </w:rPr>
  </w:style>
  <w:style w:type="paragraph" w:styleId="BodyText">
    <w:name w:val="Body Text"/>
    <w:basedOn w:val="Normal"/>
    <w:link w:val="BodyTextChar"/>
    <w:rsid w:val="00031CDF"/>
    <w:pPr>
      <w:spacing w:before="120" w:after="120"/>
      <w:contextualSpacing/>
    </w:pPr>
    <w:rPr>
      <w:rFonts w:ascii="Times New Roman" w:hAnsi="Times New Roman"/>
      <w:sz w:val="24"/>
      <w:szCs w:val="22"/>
    </w:rPr>
  </w:style>
  <w:style w:type="character" w:customStyle="1" w:styleId="BodyTextChar">
    <w:name w:val="Body Text Char"/>
    <w:link w:val="BodyText"/>
    <w:rsid w:val="00031CDF"/>
    <w:rPr>
      <w:rFonts w:ascii="Times New Roman" w:eastAsia="Times New Roman" w:hAnsi="Times New Roman" w:cs="Times New Roman"/>
      <w:sz w:val="24"/>
      <w:lang w:val="en-US" w:eastAsia="en-US"/>
    </w:rPr>
  </w:style>
  <w:style w:type="paragraph" w:styleId="Footer">
    <w:name w:val="footer"/>
    <w:basedOn w:val="Normal"/>
    <w:link w:val="FooterChar"/>
    <w:rsid w:val="0003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1CDF"/>
    <w:rPr>
      <w:rFonts w:ascii="Times New Roman" w:eastAsia="Times New Roman" w:hAnsi="Times New Roman" w:cs="Times New Roman"/>
      <w:sz w:val="16"/>
      <w:lang w:val="en-US" w:eastAsia="en-US"/>
    </w:rPr>
  </w:style>
  <w:style w:type="paragraph" w:styleId="List">
    <w:name w:val="List"/>
    <w:basedOn w:val="BodyText"/>
    <w:next w:val="BodyText"/>
    <w:rsid w:val="00031CDF"/>
    <w:pPr>
      <w:tabs>
        <w:tab w:val="left" w:pos="340"/>
      </w:tabs>
      <w:spacing w:before="60" w:after="60"/>
      <w:ind w:left="340" w:hanging="340"/>
    </w:pPr>
  </w:style>
  <w:style w:type="paragraph" w:styleId="ListBullet">
    <w:name w:val="List Bullet"/>
    <w:basedOn w:val="List"/>
    <w:rsid w:val="00031CDF"/>
    <w:pPr>
      <w:numPr>
        <w:numId w:val="13"/>
      </w:numPr>
      <w:tabs>
        <w:tab w:val="clear" w:pos="340"/>
      </w:tabs>
      <w:spacing w:before="40" w:after="40"/>
    </w:pPr>
  </w:style>
  <w:style w:type="character" w:customStyle="1" w:styleId="SpecialBold">
    <w:name w:val="Special Bold"/>
    <w:rsid w:val="00031CDF"/>
    <w:rPr>
      <w:b/>
      <w:spacing w:val="0"/>
    </w:rPr>
  </w:style>
  <w:style w:type="paragraph" w:styleId="ListBullet2">
    <w:name w:val="List Bullet 2"/>
    <w:basedOn w:val="List2"/>
    <w:rsid w:val="00031CDF"/>
    <w:pPr>
      <w:numPr>
        <w:numId w:val="14"/>
      </w:numPr>
      <w:tabs>
        <w:tab w:val="clear" w:pos="680"/>
      </w:tabs>
    </w:pPr>
  </w:style>
  <w:style w:type="paragraph" w:customStyle="1" w:styleId="SuperHeading">
    <w:name w:val="SuperHeading"/>
    <w:basedOn w:val="Normal"/>
    <w:rsid w:val="00031CDF"/>
    <w:pPr>
      <w:spacing w:before="240" w:after="120"/>
      <w:outlineLvl w:val="0"/>
    </w:pPr>
    <w:rPr>
      <w:rFonts w:ascii="Times New Roman" w:hAnsi="Times New Roman"/>
      <w:b/>
      <w:sz w:val="28"/>
    </w:rPr>
  </w:style>
  <w:style w:type="paragraph" w:customStyle="1" w:styleId="AllowPageBreak">
    <w:name w:val="AllowPageBreak"/>
    <w:rsid w:val="0003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CDF"/>
    <w:pPr>
      <w:tabs>
        <w:tab w:val="left" w:pos="680"/>
      </w:tabs>
      <w:spacing w:before="60" w:after="60"/>
      <w:ind w:left="680" w:hanging="340"/>
    </w:pPr>
  </w:style>
  <w:style w:type="character" w:customStyle="1" w:styleId="BoldandItalics">
    <w:name w:val="Bold and Italics"/>
    <w:qFormat/>
    <w:rsid w:val="00031CDF"/>
    <w:rPr>
      <w:b/>
      <w:i/>
      <w:u w:val="none"/>
    </w:rPr>
  </w:style>
  <w:style w:type="character" w:customStyle="1" w:styleId="Heading2Char">
    <w:name w:val="Heading 2 Char"/>
    <w:link w:val="Heading2"/>
    <w:rsid w:val="00031CDF"/>
    <w:rPr>
      <w:rFonts w:ascii="Times New Roman" w:eastAsia="Times New Roman" w:hAnsi="Times New Roman" w:cs="Times New Roman"/>
      <w:b/>
      <w:sz w:val="28"/>
      <w:szCs w:val="40"/>
      <w:lang w:eastAsia="en-US"/>
    </w:rPr>
  </w:style>
  <w:style w:type="character" w:customStyle="1" w:styleId="Heading3Char">
    <w:name w:val="Heading 3 Char"/>
    <w:link w:val="Heading3"/>
    <w:rsid w:val="00031C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1CDF"/>
    <w:rPr>
      <w:rFonts w:ascii="Times New Roman" w:eastAsia="Times New Roman" w:hAnsi="Times New Roman" w:cs="Times New Roman"/>
      <w:b/>
      <w:szCs w:val="20"/>
      <w:lang w:eastAsia="en-US"/>
    </w:rPr>
  </w:style>
  <w:style w:type="character" w:customStyle="1" w:styleId="Heading5Char">
    <w:name w:val="Heading 5 Char"/>
    <w:link w:val="Heading5"/>
    <w:rsid w:val="00031C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CDF"/>
    <w:rPr>
      <w:rFonts w:ascii="Courier New" w:eastAsia="Times New Roman" w:hAnsi="Courier New" w:cs="Times New Roman"/>
      <w:i/>
      <w:szCs w:val="20"/>
      <w:lang w:val="en-US" w:eastAsia="en-US"/>
    </w:rPr>
  </w:style>
  <w:style w:type="paragraph" w:customStyle="1" w:styleId="HeadingBase">
    <w:name w:val="Heading Base"/>
    <w:rsid w:val="0003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CDF"/>
    <w:pPr>
      <w:tabs>
        <w:tab w:val="right" w:leader="dot" w:pos="9072"/>
      </w:tabs>
      <w:ind w:left="567"/>
    </w:pPr>
    <w:rPr>
      <w:szCs w:val="22"/>
    </w:rPr>
  </w:style>
  <w:style w:type="paragraph" w:customStyle="1" w:styleId="TOCBase">
    <w:name w:val="TOC Base"/>
    <w:rsid w:val="0003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CDF"/>
    <w:pPr>
      <w:tabs>
        <w:tab w:val="right" w:leader="dot" w:pos="9072"/>
      </w:tabs>
      <w:spacing w:before="40" w:after="40"/>
      <w:ind w:left="284"/>
    </w:pPr>
    <w:rPr>
      <w:rFonts w:ascii="Times New Roman" w:hAnsi="Times New Roman"/>
    </w:rPr>
  </w:style>
  <w:style w:type="paragraph" w:styleId="TOC1">
    <w:name w:val="toc 1"/>
    <w:basedOn w:val="TOCBase"/>
    <w:next w:val="Normal"/>
    <w:rsid w:val="0003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CDF"/>
    <w:pPr>
      <w:spacing w:before="5040"/>
      <w:jc w:val="center"/>
    </w:pPr>
    <w:rPr>
      <w:sz w:val="48"/>
      <w:szCs w:val="72"/>
      <w:lang w:val="en-US"/>
    </w:rPr>
  </w:style>
  <w:style w:type="character" w:customStyle="1" w:styleId="TitleChar">
    <w:name w:val="Title Char"/>
    <w:link w:val="Title"/>
    <w:rsid w:val="0003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CDF"/>
    <w:pPr>
      <w:tabs>
        <w:tab w:val="left" w:pos="3600"/>
        <w:tab w:val="left" w:pos="3958"/>
      </w:tabs>
    </w:pPr>
  </w:style>
  <w:style w:type="paragraph" w:customStyle="1" w:styleId="Note">
    <w:name w:val="Note"/>
    <w:basedOn w:val="BodyText"/>
    <w:rsid w:val="0003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CDF"/>
    <w:pPr>
      <w:framePr w:wrap="auto" w:hAnchor="text" w:y="6049"/>
    </w:pPr>
    <w:rPr>
      <w:color w:val="000000"/>
      <w:sz w:val="40"/>
    </w:rPr>
  </w:style>
  <w:style w:type="paragraph" w:customStyle="1" w:styleId="TOCTitle">
    <w:name w:val="TOCTitle"/>
    <w:basedOn w:val="Heading1"/>
    <w:rsid w:val="00031CDF"/>
    <w:pPr>
      <w:spacing w:after="240"/>
      <w:jc w:val="center"/>
      <w:outlineLvl w:val="9"/>
    </w:pPr>
    <w:rPr>
      <w:caps/>
    </w:rPr>
  </w:style>
  <w:style w:type="paragraph" w:customStyle="1" w:styleId="Version">
    <w:name w:val="Version"/>
    <w:rsid w:val="00031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CDF"/>
    <w:pPr>
      <w:keepNext w:val="0"/>
      <w:tabs>
        <w:tab w:val="right" w:pos="4176"/>
      </w:tabs>
      <w:ind w:left="198" w:hanging="198"/>
    </w:pPr>
    <w:rPr>
      <w:rFonts w:ascii="Garamond" w:hAnsi="Garamond"/>
    </w:rPr>
  </w:style>
  <w:style w:type="paragraph" w:styleId="IndexHeading">
    <w:name w:val="index heading"/>
    <w:basedOn w:val="Normal"/>
    <w:next w:val="Index1"/>
    <w:semiHidden/>
    <w:rsid w:val="00031CDF"/>
    <w:pPr>
      <w:spacing w:before="120" w:after="120"/>
    </w:pPr>
    <w:rPr>
      <w:rFonts w:ascii="Arial" w:hAnsi="Arial"/>
      <w:b/>
      <w:color w:val="918585"/>
      <w:sz w:val="24"/>
    </w:rPr>
  </w:style>
  <w:style w:type="paragraph" w:styleId="Header">
    <w:name w:val="header"/>
    <w:basedOn w:val="Normal"/>
    <w:link w:val="HeaderChar"/>
    <w:rsid w:val="0003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1CDF"/>
    <w:rPr>
      <w:rFonts w:ascii="Times New Roman" w:eastAsia="Times New Roman" w:hAnsi="Times New Roman" w:cs="Times New Roman"/>
      <w:sz w:val="16"/>
      <w:szCs w:val="20"/>
      <w:lang w:val="en-GB" w:eastAsia="en-US"/>
    </w:rPr>
  </w:style>
  <w:style w:type="paragraph" w:customStyle="1" w:styleId="Chapter">
    <w:name w:val="Chapter"/>
    <w:basedOn w:val="Normal"/>
    <w:rsid w:val="00031CDF"/>
    <w:pPr>
      <w:spacing w:before="240"/>
    </w:pPr>
    <w:rPr>
      <w:rFonts w:ascii="Times New Roman" w:hAnsi="Times New Roman"/>
      <w:smallCaps/>
      <w:spacing w:val="80"/>
      <w:sz w:val="28"/>
    </w:rPr>
  </w:style>
  <w:style w:type="paragraph" w:customStyle="1" w:styleId="InChapter">
    <w:name w:val="InChapter"/>
    <w:basedOn w:val="Heading3"/>
    <w:rsid w:val="00031CDF"/>
    <w:pPr>
      <w:spacing w:after="240"/>
      <w:outlineLvl w:val="9"/>
    </w:pPr>
    <w:rPr>
      <w:noProof/>
    </w:rPr>
  </w:style>
  <w:style w:type="paragraph" w:styleId="Index2">
    <w:name w:val="index 2"/>
    <w:basedOn w:val="Normal"/>
    <w:next w:val="Normal"/>
    <w:semiHidden/>
    <w:rsid w:val="00031CDF"/>
    <w:pPr>
      <w:tabs>
        <w:tab w:val="right" w:pos="4176"/>
      </w:tabs>
      <w:ind w:left="568" w:hanging="284"/>
    </w:pPr>
    <w:rPr>
      <w:rFonts w:ascii="Garamond" w:hAnsi="Garamond"/>
    </w:rPr>
  </w:style>
  <w:style w:type="paragraph" w:customStyle="1" w:styleId="Byline">
    <w:name w:val="Byline"/>
    <w:rsid w:val="0003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CDF"/>
    <w:pPr>
      <w:tabs>
        <w:tab w:val="clear" w:pos="3600"/>
        <w:tab w:val="clear" w:pos="3958"/>
      </w:tabs>
      <w:jc w:val="right"/>
    </w:pPr>
  </w:style>
  <w:style w:type="character" w:styleId="Emphasis">
    <w:name w:val="Emphasis"/>
    <w:qFormat/>
    <w:rsid w:val="00031CDF"/>
    <w:rPr>
      <w:i/>
    </w:rPr>
  </w:style>
  <w:style w:type="paragraph" w:styleId="Caption">
    <w:name w:val="caption"/>
    <w:basedOn w:val="BodyText"/>
    <w:next w:val="Normal"/>
    <w:qFormat/>
    <w:rsid w:val="00031CDF"/>
    <w:pPr>
      <w:framePr w:w="2268" w:hSpace="181" w:vSpace="181" w:wrap="around" w:vAnchor="text" w:hAnchor="page" w:x="1135" w:y="285" w:anchorLock="1"/>
    </w:pPr>
    <w:rPr>
      <w:i/>
    </w:rPr>
  </w:style>
  <w:style w:type="paragraph" w:customStyle="1" w:styleId="MiniTOCTitle">
    <w:name w:val="MiniTOCTitle"/>
    <w:basedOn w:val="Heading4"/>
    <w:rsid w:val="00031CDF"/>
    <w:pPr>
      <w:spacing w:before="240"/>
      <w:outlineLvl w:val="9"/>
    </w:pPr>
    <w:rPr>
      <w:noProof/>
      <w:sz w:val="24"/>
    </w:rPr>
  </w:style>
  <w:style w:type="paragraph" w:customStyle="1" w:styleId="MiniTOCItem">
    <w:name w:val="MiniTOCItem"/>
    <w:basedOn w:val="ListBullet"/>
    <w:rsid w:val="00031CDF"/>
    <w:pPr>
      <w:numPr>
        <w:numId w:val="0"/>
      </w:numPr>
      <w:tabs>
        <w:tab w:val="right" w:leader="dot" w:pos="6521"/>
      </w:tabs>
      <w:spacing w:before="0" w:after="0"/>
    </w:pPr>
  </w:style>
  <w:style w:type="paragraph" w:customStyle="1" w:styleId="TOFTitle">
    <w:name w:val="TOFTitle"/>
    <w:basedOn w:val="TOCTitle"/>
    <w:rsid w:val="00031CDF"/>
  </w:style>
  <w:style w:type="paragraph" w:styleId="TableofFigures">
    <w:name w:val="table of figures"/>
    <w:basedOn w:val="Normal"/>
    <w:next w:val="Normal"/>
    <w:semiHidden/>
    <w:rsid w:val="00031CDF"/>
    <w:pPr>
      <w:tabs>
        <w:tab w:val="right" w:leader="dot" w:pos="9072"/>
      </w:tabs>
      <w:ind w:left="970" w:hanging="403"/>
    </w:pPr>
    <w:rPr>
      <w:rFonts w:ascii="Times New Roman" w:hAnsi="Times New Roman"/>
      <w:b/>
    </w:rPr>
  </w:style>
  <w:style w:type="paragraph" w:styleId="ListNumber">
    <w:name w:val="List Number"/>
    <w:basedOn w:val="List"/>
    <w:rsid w:val="00031CDF"/>
    <w:pPr>
      <w:numPr>
        <w:numId w:val="11"/>
      </w:numPr>
    </w:pPr>
  </w:style>
  <w:style w:type="character" w:customStyle="1" w:styleId="WingdingSymbols">
    <w:name w:val="Wingding Symbols"/>
    <w:rsid w:val="00031CDF"/>
    <w:rPr>
      <w:rFonts w:ascii="Wingdings" w:hAnsi="Wingdings"/>
    </w:rPr>
  </w:style>
  <w:style w:type="paragraph" w:customStyle="1" w:styleId="TableHeading">
    <w:name w:val="Table Heading"/>
    <w:basedOn w:val="HeadingBase"/>
    <w:rsid w:val="00031CDF"/>
    <w:pPr>
      <w:keepLines/>
      <w:pBdr>
        <w:bottom w:val="single" w:sz="6" w:space="1" w:color="918585"/>
      </w:pBdr>
      <w:spacing w:before="240"/>
    </w:pPr>
  </w:style>
  <w:style w:type="character" w:customStyle="1" w:styleId="HotSpot">
    <w:name w:val="HotSpot"/>
    <w:rsid w:val="00031CDF"/>
    <w:rPr>
      <w:color w:val="0033CC"/>
      <w:u w:val="none"/>
    </w:rPr>
  </w:style>
  <w:style w:type="paragraph" w:customStyle="1" w:styleId="BodyTextRight">
    <w:name w:val="Body Text Right"/>
    <w:basedOn w:val="BodyText"/>
    <w:rsid w:val="00031CDF"/>
    <w:pPr>
      <w:spacing w:before="0" w:after="0"/>
      <w:jc w:val="right"/>
    </w:pPr>
  </w:style>
  <w:style w:type="paragraph" w:styleId="Index3">
    <w:name w:val="index 3"/>
    <w:basedOn w:val="ListNumber2"/>
    <w:next w:val="Normal"/>
    <w:semiHidden/>
    <w:rsid w:val="00031CDF"/>
    <w:pPr>
      <w:numPr>
        <w:numId w:val="0"/>
      </w:numPr>
      <w:tabs>
        <w:tab w:val="right" w:leader="dot" w:pos="4176"/>
      </w:tabs>
    </w:pPr>
  </w:style>
  <w:style w:type="paragraph" w:styleId="ListNumber2">
    <w:name w:val="List Number 2"/>
    <w:basedOn w:val="List2"/>
    <w:rsid w:val="00031CDF"/>
    <w:pPr>
      <w:numPr>
        <w:numId w:val="10"/>
      </w:numPr>
      <w:tabs>
        <w:tab w:val="clear" w:pos="1060"/>
      </w:tabs>
    </w:pPr>
  </w:style>
  <w:style w:type="paragraph" w:customStyle="1" w:styleId="MarginNote">
    <w:name w:val="Margin Note"/>
    <w:basedOn w:val="BodyText"/>
    <w:rsid w:val="0003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CDF"/>
    <w:rPr>
      <w:sz w:val="32"/>
    </w:rPr>
  </w:style>
  <w:style w:type="paragraph" w:customStyle="1" w:styleId="HeadingProcedure">
    <w:name w:val="Heading Procedure"/>
    <w:basedOn w:val="HeadingBase"/>
    <w:next w:val="Normal"/>
    <w:rsid w:val="00031CDF"/>
    <w:pPr>
      <w:tabs>
        <w:tab w:val="left" w:pos="0"/>
      </w:tabs>
      <w:spacing w:before="120" w:after="60"/>
    </w:pPr>
    <w:rPr>
      <w:i/>
      <w:color w:val="918585"/>
      <w:sz w:val="22"/>
    </w:rPr>
  </w:style>
  <w:style w:type="paragraph" w:customStyle="1" w:styleId="TableBodyText">
    <w:name w:val="Table Body Text"/>
    <w:basedOn w:val="BodyText"/>
    <w:rsid w:val="00031CDF"/>
    <w:pPr>
      <w:spacing w:before="60" w:after="60"/>
    </w:pPr>
  </w:style>
  <w:style w:type="paragraph" w:styleId="ListContinue">
    <w:name w:val="List Continue"/>
    <w:basedOn w:val="List"/>
    <w:rsid w:val="00031CDF"/>
    <w:pPr>
      <w:ind w:firstLine="0"/>
    </w:pPr>
  </w:style>
  <w:style w:type="paragraph" w:customStyle="1" w:styleId="ListNote">
    <w:name w:val="List Note"/>
    <w:basedOn w:val="List"/>
    <w:rsid w:val="00031CDF"/>
    <w:pPr>
      <w:pBdr>
        <w:top w:val="single" w:sz="6" w:space="2" w:color="918585"/>
        <w:bottom w:val="single" w:sz="6" w:space="2" w:color="918585"/>
      </w:pBdr>
      <w:tabs>
        <w:tab w:val="left" w:pos="1021"/>
      </w:tabs>
      <w:ind w:firstLine="0"/>
    </w:pPr>
  </w:style>
  <w:style w:type="paragraph" w:customStyle="1" w:styleId="Warning">
    <w:name w:val="Warning"/>
    <w:basedOn w:val="BodyText"/>
    <w:rsid w:val="00031CDF"/>
    <w:pPr>
      <w:shd w:val="clear" w:color="auto" w:fill="D9D9D9"/>
      <w:tabs>
        <w:tab w:val="left" w:pos="992"/>
      </w:tabs>
      <w:ind w:left="119" w:right="119"/>
    </w:pPr>
    <w:rPr>
      <w:sz w:val="20"/>
    </w:rPr>
  </w:style>
  <w:style w:type="paragraph" w:customStyle="1" w:styleId="MarginIcons">
    <w:name w:val="Margin Icons"/>
    <w:basedOn w:val="BodyText"/>
    <w:rsid w:val="00031C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1CDF"/>
    <w:rPr>
      <w:rFonts w:ascii="Courier New" w:hAnsi="Courier New"/>
    </w:rPr>
  </w:style>
  <w:style w:type="paragraph" w:customStyle="1" w:styleId="NoteBullet">
    <w:name w:val="Note Bullet"/>
    <w:basedOn w:val="Note"/>
    <w:rsid w:val="00031CDF"/>
    <w:pPr>
      <w:tabs>
        <w:tab w:val="clear" w:pos="680"/>
      </w:tabs>
      <w:spacing w:before="60" w:after="60"/>
    </w:pPr>
  </w:style>
  <w:style w:type="paragraph" w:customStyle="1" w:styleId="SubHeading2">
    <w:name w:val="SubHeading2"/>
    <w:basedOn w:val="HeadingBase"/>
    <w:rsid w:val="00031CDF"/>
    <w:pPr>
      <w:spacing w:before="240" w:after="60"/>
    </w:pPr>
    <w:rPr>
      <w:sz w:val="20"/>
    </w:rPr>
  </w:style>
  <w:style w:type="paragraph" w:customStyle="1" w:styleId="SubHeading1">
    <w:name w:val="SubHeading1"/>
    <w:basedOn w:val="HeadingBase"/>
    <w:rsid w:val="00031CDF"/>
    <w:pPr>
      <w:spacing w:before="240" w:after="60"/>
    </w:pPr>
    <w:rPr>
      <w:color w:val="918585"/>
      <w:sz w:val="22"/>
    </w:rPr>
  </w:style>
  <w:style w:type="paragraph" w:customStyle="1" w:styleId="SideHeading">
    <w:name w:val="Side Heading"/>
    <w:basedOn w:val="HeadingBase"/>
    <w:rsid w:val="0003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CDF"/>
    <w:pPr>
      <w:numPr>
        <w:numId w:val="12"/>
      </w:numPr>
    </w:pPr>
  </w:style>
  <w:style w:type="paragraph" w:styleId="PlainText">
    <w:name w:val="Plain Text"/>
    <w:basedOn w:val="Normal"/>
    <w:link w:val="PlainTextChar"/>
    <w:rsid w:val="00031CDF"/>
    <w:rPr>
      <w:sz w:val="20"/>
    </w:rPr>
  </w:style>
  <w:style w:type="character" w:customStyle="1" w:styleId="PlainTextChar">
    <w:name w:val="Plain Text Char"/>
    <w:basedOn w:val="DefaultParagraphFont"/>
    <w:link w:val="PlainText"/>
    <w:rsid w:val="00031CDF"/>
    <w:rPr>
      <w:rFonts w:ascii="Courier New" w:eastAsia="Times New Roman" w:hAnsi="Courier New" w:cs="Times New Roman"/>
      <w:sz w:val="20"/>
      <w:szCs w:val="20"/>
      <w:lang w:val="en-US" w:eastAsia="en-US"/>
    </w:rPr>
  </w:style>
  <w:style w:type="character" w:customStyle="1" w:styleId="MenuOption">
    <w:name w:val="Menu Option"/>
    <w:rsid w:val="00031CDF"/>
    <w:rPr>
      <w:b/>
      <w:smallCaps/>
    </w:rPr>
  </w:style>
  <w:style w:type="paragraph" w:customStyle="1" w:styleId="TableListNumber">
    <w:name w:val="Table List Number"/>
    <w:basedOn w:val="ListNumber"/>
    <w:rsid w:val="00031CDF"/>
    <w:pPr>
      <w:numPr>
        <w:numId w:val="0"/>
      </w:numPr>
    </w:pPr>
  </w:style>
  <w:style w:type="paragraph" w:styleId="TOC4">
    <w:name w:val="toc 4"/>
    <w:basedOn w:val="TOCBase"/>
    <w:next w:val="Normal"/>
    <w:semiHidden/>
    <w:rsid w:val="00031CDF"/>
    <w:pPr>
      <w:tabs>
        <w:tab w:val="right" w:leader="dot" w:pos="9071"/>
      </w:tabs>
      <w:ind w:left="1701"/>
    </w:pPr>
  </w:style>
  <w:style w:type="paragraph" w:customStyle="1" w:styleId="ListAlpha">
    <w:name w:val="List Alpha"/>
    <w:basedOn w:val="List"/>
    <w:rsid w:val="00031CDF"/>
    <w:pPr>
      <w:numPr>
        <w:numId w:val="9"/>
      </w:numPr>
    </w:pPr>
  </w:style>
  <w:style w:type="paragraph" w:customStyle="1" w:styleId="ListAlpha2">
    <w:name w:val="List Alpha 2"/>
    <w:basedOn w:val="List2"/>
    <w:rsid w:val="00031CDF"/>
    <w:pPr>
      <w:numPr>
        <w:numId w:val="8"/>
      </w:numPr>
    </w:pPr>
  </w:style>
  <w:style w:type="paragraph" w:styleId="List3">
    <w:name w:val="List 3"/>
    <w:basedOn w:val="BodyText"/>
    <w:rsid w:val="00031CDF"/>
    <w:pPr>
      <w:tabs>
        <w:tab w:val="left" w:pos="1021"/>
      </w:tabs>
      <w:spacing w:before="60" w:after="60"/>
      <w:ind w:left="1020" w:hanging="340"/>
    </w:pPr>
  </w:style>
  <w:style w:type="paragraph" w:styleId="List4">
    <w:name w:val="List 4"/>
    <w:basedOn w:val="BodyText"/>
    <w:rsid w:val="00031CDF"/>
    <w:pPr>
      <w:tabs>
        <w:tab w:val="left" w:pos="1361"/>
      </w:tabs>
      <w:spacing w:before="60" w:after="60"/>
      <w:ind w:left="1361" w:hanging="340"/>
    </w:pPr>
  </w:style>
  <w:style w:type="paragraph" w:styleId="List5">
    <w:name w:val="List 5"/>
    <w:basedOn w:val="BodyText"/>
    <w:rsid w:val="00031CDF"/>
    <w:pPr>
      <w:tabs>
        <w:tab w:val="left" w:pos="1701"/>
      </w:tabs>
      <w:spacing w:before="60" w:after="60"/>
      <w:ind w:left="1701" w:hanging="340"/>
    </w:pPr>
  </w:style>
  <w:style w:type="paragraph" w:styleId="ListBullet3">
    <w:name w:val="List Bullet 3"/>
    <w:basedOn w:val="List3"/>
    <w:rsid w:val="00031CDF"/>
    <w:pPr>
      <w:numPr>
        <w:numId w:val="15"/>
      </w:numPr>
      <w:tabs>
        <w:tab w:val="clear" w:pos="1021"/>
      </w:tabs>
      <w:ind w:left="1037" w:hanging="357"/>
    </w:pPr>
  </w:style>
  <w:style w:type="paragraph" w:styleId="ListBullet4">
    <w:name w:val="List Bullet 4"/>
    <w:basedOn w:val="List4"/>
    <w:rsid w:val="00031CDF"/>
    <w:pPr>
      <w:numPr>
        <w:numId w:val="3"/>
      </w:numPr>
    </w:pPr>
  </w:style>
  <w:style w:type="paragraph" w:styleId="ListBullet5">
    <w:name w:val="List Bullet 5"/>
    <w:basedOn w:val="List5"/>
    <w:rsid w:val="00031CDF"/>
    <w:pPr>
      <w:numPr>
        <w:numId w:val="4"/>
      </w:numPr>
    </w:pPr>
  </w:style>
  <w:style w:type="paragraph" w:styleId="ListContinue2">
    <w:name w:val="List Continue 2"/>
    <w:basedOn w:val="List2"/>
    <w:rsid w:val="00031CDF"/>
    <w:pPr>
      <w:ind w:firstLine="0"/>
    </w:pPr>
  </w:style>
  <w:style w:type="paragraph" w:styleId="ListContinue3">
    <w:name w:val="List Continue 3"/>
    <w:basedOn w:val="List3"/>
    <w:rsid w:val="00031CDF"/>
    <w:pPr>
      <w:ind w:left="1021" w:firstLine="0"/>
    </w:pPr>
  </w:style>
  <w:style w:type="paragraph" w:styleId="ListContinue4">
    <w:name w:val="List Continue 4"/>
    <w:basedOn w:val="List4"/>
    <w:rsid w:val="00031CDF"/>
    <w:pPr>
      <w:ind w:firstLine="0"/>
    </w:pPr>
  </w:style>
  <w:style w:type="paragraph" w:styleId="ListContinue5">
    <w:name w:val="List Continue 5"/>
    <w:basedOn w:val="List5"/>
    <w:rsid w:val="00031CDF"/>
    <w:pPr>
      <w:ind w:firstLine="0"/>
    </w:pPr>
  </w:style>
  <w:style w:type="paragraph" w:styleId="ListNumber3">
    <w:name w:val="List Number 3"/>
    <w:basedOn w:val="List3"/>
    <w:rsid w:val="00031CDF"/>
    <w:pPr>
      <w:numPr>
        <w:numId w:val="5"/>
      </w:numPr>
    </w:pPr>
  </w:style>
  <w:style w:type="paragraph" w:styleId="ListNumber4">
    <w:name w:val="List Number 4"/>
    <w:basedOn w:val="List4"/>
    <w:rsid w:val="00031CDF"/>
    <w:pPr>
      <w:numPr>
        <w:numId w:val="6"/>
      </w:numPr>
    </w:pPr>
  </w:style>
  <w:style w:type="paragraph" w:styleId="ListNumber5">
    <w:name w:val="List Number 5"/>
    <w:basedOn w:val="List5"/>
    <w:rsid w:val="00031CDF"/>
    <w:pPr>
      <w:numPr>
        <w:numId w:val="7"/>
      </w:numPr>
    </w:pPr>
  </w:style>
  <w:style w:type="paragraph" w:styleId="BlockText">
    <w:name w:val="Block Text"/>
    <w:basedOn w:val="Normal"/>
    <w:rsid w:val="00031CDF"/>
    <w:pPr>
      <w:spacing w:after="120"/>
      <w:ind w:left="1440" w:right="1440"/>
    </w:pPr>
  </w:style>
  <w:style w:type="character" w:customStyle="1" w:styleId="Subscript">
    <w:name w:val="Subscript"/>
    <w:rsid w:val="00031CDF"/>
    <w:rPr>
      <w:sz w:val="16"/>
      <w:vertAlign w:val="subscript"/>
    </w:rPr>
  </w:style>
  <w:style w:type="character" w:customStyle="1" w:styleId="Superscript">
    <w:name w:val="Superscript"/>
    <w:rsid w:val="00031CDF"/>
    <w:rPr>
      <w:sz w:val="16"/>
      <w:vertAlign w:val="superscript"/>
    </w:rPr>
  </w:style>
  <w:style w:type="character" w:customStyle="1" w:styleId="Symbols">
    <w:name w:val="Symbols"/>
    <w:rsid w:val="00031CDF"/>
    <w:rPr>
      <w:rFonts w:ascii="Symbol" w:hAnsi="Symbol"/>
    </w:rPr>
  </w:style>
  <w:style w:type="character" w:customStyle="1" w:styleId="MenuOptions">
    <w:name w:val="Menu Options"/>
    <w:rsid w:val="00031CDF"/>
    <w:rPr>
      <w:rFonts w:ascii="Arial Narrow" w:hAnsi="Arial Narrow"/>
      <w:smallCaps/>
    </w:rPr>
  </w:style>
  <w:style w:type="character" w:customStyle="1" w:styleId="Buttons">
    <w:name w:val="Buttons"/>
    <w:rsid w:val="00031CDF"/>
    <w:rPr>
      <w:b/>
    </w:rPr>
  </w:style>
  <w:style w:type="character" w:customStyle="1" w:styleId="Underlined">
    <w:name w:val="Underlined"/>
    <w:rsid w:val="00031CDF"/>
    <w:rPr>
      <w:u w:val="single"/>
    </w:rPr>
  </w:style>
  <w:style w:type="paragraph" w:customStyle="1" w:styleId="TableBodyTextRight">
    <w:name w:val="Table Body Text Right"/>
    <w:basedOn w:val="TableBodyText"/>
    <w:rsid w:val="00031CDF"/>
    <w:pPr>
      <w:widowControl w:val="0"/>
      <w:autoSpaceDE w:val="0"/>
      <w:autoSpaceDN w:val="0"/>
      <w:adjustRightInd w:val="0"/>
      <w:jc w:val="right"/>
    </w:pPr>
    <w:rPr>
      <w:rFonts w:cs="Arial"/>
      <w:szCs w:val="18"/>
    </w:rPr>
  </w:style>
  <w:style w:type="paragraph" w:customStyle="1" w:styleId="CopyrightText">
    <w:name w:val="Copyright Text"/>
    <w:basedOn w:val="BodyText"/>
    <w:rsid w:val="00031CDF"/>
    <w:rPr>
      <w:sz w:val="18"/>
    </w:rPr>
  </w:style>
  <w:style w:type="paragraph" w:customStyle="1" w:styleId="BodySmallRight">
    <w:name w:val="Body Small Right"/>
    <w:basedOn w:val="BodyTextRight"/>
    <w:rsid w:val="00031CDF"/>
    <w:rPr>
      <w:sz w:val="18"/>
      <w:szCs w:val="18"/>
    </w:rPr>
  </w:style>
  <w:style w:type="paragraph" w:customStyle="1" w:styleId="MarginEdition">
    <w:name w:val="Margin Edition"/>
    <w:basedOn w:val="MarginNote"/>
    <w:rsid w:val="00031CDF"/>
    <w:pPr>
      <w:spacing w:before="0" w:after="0"/>
    </w:pPr>
    <w:rPr>
      <w:rFonts w:ascii="Times New Roman" w:hAnsi="Times New Roman"/>
      <w:color w:val="999999"/>
    </w:rPr>
  </w:style>
  <w:style w:type="paragraph" w:customStyle="1" w:styleId="Spacer">
    <w:name w:val="Spacer"/>
    <w:basedOn w:val="Normal"/>
    <w:rsid w:val="00031CDF"/>
    <w:rPr>
      <w:sz w:val="2"/>
      <w:szCs w:val="2"/>
    </w:rPr>
  </w:style>
  <w:style w:type="character" w:customStyle="1" w:styleId="Small">
    <w:name w:val="Small"/>
    <w:rsid w:val="00031CDF"/>
    <w:rPr>
      <w:sz w:val="16"/>
    </w:rPr>
  </w:style>
  <w:style w:type="paragraph" w:customStyle="1" w:styleId="WideTable">
    <w:name w:val="Wide Table"/>
    <w:basedOn w:val="Normal"/>
    <w:rsid w:val="00031CDF"/>
    <w:pPr>
      <w:ind w:left="-1418"/>
    </w:pPr>
    <w:rPr>
      <w:sz w:val="2"/>
      <w:szCs w:val="2"/>
    </w:rPr>
  </w:style>
  <w:style w:type="character" w:styleId="PageNumber">
    <w:name w:val="page number"/>
    <w:rsid w:val="00031CDF"/>
  </w:style>
  <w:style w:type="paragraph" w:styleId="Quote">
    <w:name w:val="Quote"/>
    <w:basedOn w:val="Heading1"/>
    <w:link w:val="QuoteChar"/>
    <w:qFormat/>
    <w:rsid w:val="00031CDF"/>
    <w:rPr>
      <w:b w:val="0"/>
      <w:sz w:val="72"/>
      <w:szCs w:val="72"/>
      <w:lang w:val="en-NZ"/>
    </w:rPr>
  </w:style>
  <w:style w:type="character" w:customStyle="1" w:styleId="QuoteChar">
    <w:name w:val="Quote Char"/>
    <w:link w:val="Quote"/>
    <w:rsid w:val="0003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CDF"/>
    <w:pPr>
      <w:pageBreakBefore/>
    </w:pPr>
  </w:style>
  <w:style w:type="paragraph" w:customStyle="1" w:styleId="Border">
    <w:name w:val="Border"/>
    <w:basedOn w:val="Normal"/>
    <w:qFormat/>
    <w:rsid w:val="00031CDF"/>
    <w:pPr>
      <w:pBdr>
        <w:top w:val="single" w:sz="18" w:space="1" w:color="auto"/>
      </w:pBdr>
    </w:pPr>
    <w:rPr>
      <w:rFonts w:ascii="Times New Roman" w:hAnsi="Times New Roman"/>
      <w:color w:val="FFFFFF"/>
      <w:sz w:val="2"/>
    </w:rPr>
  </w:style>
  <w:style w:type="character" w:styleId="IntenseEmphasis">
    <w:name w:val="Intense Emphasis"/>
    <w:uiPriority w:val="21"/>
    <w:qFormat/>
    <w:rsid w:val="00031CDF"/>
    <w:rPr>
      <w:b/>
      <w:bCs/>
      <w:i/>
      <w:iCs/>
      <w:color w:val="auto"/>
    </w:rPr>
  </w:style>
  <w:style w:type="paragraph" w:styleId="IntenseQuote">
    <w:name w:val="Intense Quote"/>
    <w:basedOn w:val="Normal"/>
    <w:next w:val="Normal"/>
    <w:link w:val="IntenseQuoteChar"/>
    <w:uiPriority w:val="30"/>
    <w:qFormat/>
    <w:rsid w:val="00031C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1CDF"/>
    <w:rPr>
      <w:rFonts w:ascii="Courier New" w:eastAsia="Times New Roman" w:hAnsi="Courier New" w:cs="Times New Roman"/>
      <w:b/>
      <w:bCs/>
      <w:i/>
      <w:iCs/>
      <w:szCs w:val="20"/>
      <w:lang w:val="en-US" w:eastAsia="en-US"/>
    </w:rPr>
  </w:style>
  <w:style w:type="character" w:styleId="SubtleReference">
    <w:name w:val="Subtle Reference"/>
    <w:uiPriority w:val="31"/>
    <w:qFormat/>
    <w:rsid w:val="00031CDF"/>
    <w:rPr>
      <w:smallCaps/>
      <w:color w:val="auto"/>
      <w:u w:val="single"/>
    </w:rPr>
  </w:style>
  <w:style w:type="character" w:styleId="IntenseReference">
    <w:name w:val="Intense Reference"/>
    <w:uiPriority w:val="32"/>
    <w:qFormat/>
    <w:rsid w:val="00031CDF"/>
    <w:rPr>
      <w:b/>
      <w:bCs/>
      <w:smallCaps/>
      <w:color w:val="auto"/>
      <w:spacing w:val="5"/>
      <w:u w:val="single"/>
    </w:rPr>
  </w:style>
  <w:style w:type="paragraph" w:customStyle="1" w:styleId="2ColumnHeading">
    <w:name w:val="2Column Heading"/>
    <w:basedOn w:val="BodyText"/>
    <w:qFormat/>
    <w:rsid w:val="00031CDF"/>
    <w:pPr>
      <w:spacing w:after="60"/>
      <w:ind w:left="-2268"/>
    </w:pPr>
    <w:rPr>
      <w:b/>
    </w:rPr>
  </w:style>
  <w:style w:type="paragraph" w:customStyle="1" w:styleId="Heading1TOC">
    <w:name w:val="Heading1 TOC"/>
    <w:basedOn w:val="Normal"/>
    <w:qFormat/>
    <w:rsid w:val="00031CDF"/>
    <w:pPr>
      <w:spacing w:before="240" w:after="120"/>
    </w:pPr>
    <w:rPr>
      <w:rFonts w:ascii="Times New Roman" w:hAnsi="Times New Roman"/>
      <w:b/>
      <w:sz w:val="32"/>
    </w:rPr>
  </w:style>
  <w:style w:type="paragraph" w:customStyle="1" w:styleId="Heading2TOC">
    <w:name w:val="Heading2 TOC"/>
    <w:basedOn w:val="Normal"/>
    <w:qFormat/>
    <w:rsid w:val="00031CDF"/>
    <w:pPr>
      <w:spacing w:before="240" w:after="60"/>
    </w:pPr>
    <w:rPr>
      <w:rFonts w:ascii="Times New Roman" w:hAnsi="Times New Roman"/>
      <w:b/>
      <w:sz w:val="28"/>
    </w:rPr>
  </w:style>
  <w:style w:type="character" w:customStyle="1" w:styleId="Underline">
    <w:name w:val="Underline"/>
    <w:qFormat/>
    <w:rsid w:val="00031CDF"/>
    <w:rPr>
      <w:u w:val="single"/>
    </w:rPr>
  </w:style>
  <w:style w:type="paragraph" w:styleId="BalloonText">
    <w:name w:val="Balloon Text"/>
    <w:basedOn w:val="Normal"/>
    <w:link w:val="BalloonTextChar"/>
    <w:rsid w:val="00031CDF"/>
    <w:rPr>
      <w:rFonts w:ascii="Tahoma" w:hAnsi="Tahoma" w:cs="Tahoma"/>
      <w:sz w:val="16"/>
      <w:szCs w:val="16"/>
    </w:rPr>
  </w:style>
  <w:style w:type="character" w:customStyle="1" w:styleId="BalloonTextChar">
    <w:name w:val="Balloon Text Char"/>
    <w:link w:val="BalloonText"/>
    <w:rsid w:val="0003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C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1C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8565</Characters>
  <Application>Microsoft Office Word</Application>
  <DocSecurity>0</DocSecurity>
  <Lines>294</Lines>
  <Paragraphs>140</Paragraphs>
  <ScaleCrop>false</ScaleCrop>
  <Company>Author-it Software Corporation Ltd.</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RIIPEO208A Extend, retract and maintain conveyor componentry</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