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432" w:rsidP="00547432">
      <w:pPr>
        <w:pStyle w:val="Title"/>
      </w:pPr>
      <w:bookmarkStart w:id="0" w:name="_GoBack"/>
      <w:bookmarkEnd w:id="0"/>
      <w:r>
        <w:fldChar w:fldCharType="begin"/>
      </w:r>
      <w:r>
        <w:instrText xml:space="preserve"> TITLE   \* MERGEFORMAT </w:instrText>
      </w:r>
      <w:r>
        <w:fldChar w:fldCharType="separate"/>
      </w:r>
      <w:r>
        <w:t>RIIPEO202A Provide deck support for conveyor-car high wall mining operations</w:t>
      </w:r>
      <w:r>
        <w:fldChar w:fldCharType="end"/>
      </w:r>
    </w:p>
    <w:p w:rsidR="00547432" w:rsidP="00547432">
      <w:pPr>
        <w:pStyle w:val="Version"/>
        <w:sectPr w:rsidSect="00760E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EC0" w:rsidP="00760EC0">
      <w:pPr>
        <w:pStyle w:val="SuperHeading"/>
      </w:pPr>
      <w:r w:rsidRPr="00760EC0">
        <w:t>RIIPEO202A Provide deck support for conveyor-car high wall mining operations</w:t>
      </w:r>
    </w:p>
    <w:p w:rsidR="00000000" w:rsidRPr="00760EC0" w:rsidP="00760EC0">
      <w:pPr>
        <w:pStyle w:val="Heading1"/>
      </w:pPr>
      <w:bookmarkStart w:id="1" w:name="O_132975"/>
      <w:bookmarkEnd w:id="1"/>
      <w:r w:rsidRPr="00760EC0">
        <w:t>Modification History</w:t>
      </w:r>
    </w:p>
    <w:p w:rsidR="00000000" w:rsidRPr="00760EC0" w:rsidP="00760EC0">
      <w:pPr>
        <w:pStyle w:val="BodyText"/>
      </w:pPr>
      <w:r w:rsidRPr="00760EC0">
        <w:t>Not applicable.</w:t>
      </w:r>
    </w:p>
    <w:p w:rsidR="00000000" w:rsidRPr="00760EC0" w:rsidP="00760EC0">
      <w:pPr>
        <w:pStyle w:val="AllowPageBreak"/>
      </w:pPr>
    </w:p>
    <w:p w:rsidR="00000000" w:rsidRPr="00760EC0" w:rsidP="00760EC0">
      <w:pPr>
        <w:pStyle w:val="Heading1"/>
      </w:pPr>
      <w:bookmarkStart w:id="2" w:name="O_132976"/>
      <w:bookmarkEnd w:id="2"/>
      <w:r w:rsidRPr="00760EC0">
        <w:t>Unit Descriptor</w:t>
      </w:r>
    </w:p>
    <w:p w:rsidR="00000000" w:rsidRPr="00760EC0" w:rsidP="00760EC0">
      <w:pPr>
        <w:pStyle w:val="BodyText"/>
      </w:pPr>
      <w:r w:rsidRPr="00760EC0">
        <w:t>Thi</w:t>
      </w:r>
      <w:r w:rsidRPr="00760EC0">
        <w:t xml:space="preserve">s unit covers the providing of deck support for conveyor-car high wall mining operation in coal mining.  It includes the functions for loading/ unloading, operation and maintenance of conveyor-cars and operation of pendant controls during high-wall mining </w:t>
      </w:r>
      <w:r w:rsidRPr="00760EC0">
        <w:t>operations.</w:t>
      </w:r>
    </w:p>
    <w:p w:rsidR="00000000" w:rsidRPr="00760EC0" w:rsidP="00760EC0">
      <w:pPr>
        <w:pStyle w:val="AllowPageBreak"/>
      </w:pPr>
    </w:p>
    <w:p w:rsidR="00000000" w:rsidRPr="00760EC0" w:rsidP="00760EC0">
      <w:pPr>
        <w:pStyle w:val="Heading1"/>
      </w:pPr>
      <w:bookmarkStart w:id="3" w:name="O_132977"/>
      <w:bookmarkEnd w:id="3"/>
      <w:r w:rsidRPr="00760EC0">
        <w:t>Application of the Unit</w:t>
      </w:r>
    </w:p>
    <w:p w:rsidR="00000000" w:rsidRPr="00760EC0" w:rsidP="00760EC0">
      <w:pPr>
        <w:pStyle w:val="BodyText"/>
      </w:pPr>
      <w:r w:rsidRPr="00760EC0">
        <w:t>This unit is appropriate for those working in operational roles, at worksites within:</w:t>
      </w:r>
    </w:p>
    <w:p w:rsidR="00000000" w:rsidRPr="00760EC0" w:rsidP="00760EC0">
      <w:pPr>
        <w:pStyle w:val="ListBullet"/>
      </w:pPr>
      <w:r w:rsidRPr="00760EC0">
        <w:t>Coal mining</w:t>
      </w:r>
    </w:p>
    <w:p w:rsidR="00000000" w:rsidRPr="00760EC0" w:rsidP="00760EC0">
      <w:pPr>
        <w:pStyle w:val="AllowPageBreak"/>
      </w:pPr>
    </w:p>
    <w:p w:rsidR="00000000" w:rsidRPr="00760EC0" w:rsidP="00760EC0">
      <w:pPr>
        <w:pStyle w:val="Heading1"/>
      </w:pPr>
      <w:bookmarkStart w:id="4" w:name="O_132978"/>
      <w:bookmarkEnd w:id="4"/>
      <w:r w:rsidRPr="00760EC0">
        <w:t>Licensing/Regulatory Information</w:t>
      </w:r>
    </w:p>
    <w:p w:rsidR="00000000" w:rsidRPr="00760EC0" w:rsidP="00760EC0">
      <w:pPr>
        <w:pStyle w:val="BodyText"/>
      </w:pPr>
      <w:r w:rsidRPr="00760EC0">
        <w:t>Refer to Unit Descriptor.</w:t>
      </w:r>
    </w:p>
    <w:p w:rsidR="00000000" w:rsidRPr="00760EC0" w:rsidP="00760EC0">
      <w:pPr>
        <w:pStyle w:val="AllowPageBreak"/>
      </w:pPr>
    </w:p>
    <w:p w:rsidR="00000000" w:rsidRPr="00760EC0" w:rsidP="00760EC0">
      <w:pPr>
        <w:pStyle w:val="Heading1"/>
      </w:pPr>
      <w:bookmarkStart w:id="5" w:name="O_132980"/>
      <w:bookmarkEnd w:id="5"/>
      <w:r w:rsidRPr="00760EC0">
        <w:t>Pre-Requisites</w:t>
      </w:r>
    </w:p>
    <w:p w:rsidR="00000000" w:rsidRPr="00760EC0" w:rsidP="00760EC0">
      <w:pPr>
        <w:pStyle w:val="BodyText"/>
      </w:pPr>
      <w:r w:rsidRPr="00760EC0">
        <w:t>Not applicable.</w:t>
      </w:r>
    </w:p>
    <w:p w:rsidR="00000000" w:rsidRPr="00760EC0" w:rsidP="00760EC0">
      <w:pPr>
        <w:pStyle w:val="AllowPageBreak"/>
      </w:pPr>
    </w:p>
    <w:p w:rsidR="00000000" w:rsidRPr="00760EC0" w:rsidP="00760EC0">
      <w:pPr>
        <w:pStyle w:val="Heading1"/>
      </w:pPr>
      <w:bookmarkStart w:id="6" w:name="O_132979"/>
      <w:bookmarkEnd w:id="6"/>
      <w:r w:rsidRPr="00760EC0">
        <w:t>Employability Skills Information</w:t>
      </w:r>
    </w:p>
    <w:p w:rsidR="00000000" w:rsidRPr="00760EC0" w:rsidP="00760EC0">
      <w:pPr>
        <w:pStyle w:val="BodyText"/>
      </w:pPr>
      <w:r w:rsidRPr="00760EC0">
        <w:t>This unit contains employability skills.</w:t>
      </w:r>
    </w:p>
    <w:p w:rsidR="00000000" w:rsidRPr="00760EC0" w:rsidP="00760EC0">
      <w:pPr>
        <w:pStyle w:val="AllowPageBreak"/>
      </w:pPr>
    </w:p>
    <w:p w:rsidR="00000000" w:rsidRPr="00760EC0" w:rsidP="00760EC0">
      <w:pPr>
        <w:pStyle w:val="Heading1"/>
      </w:pPr>
      <w:bookmarkStart w:id="7" w:name="O_132981"/>
      <w:bookmarkEnd w:id="7"/>
      <w:r w:rsidRPr="00760EC0">
        <w:t>Elements and Performance Criteria Pre-Content</w:t>
      </w:r>
    </w:p>
    <w:tbl>
      <w:tblPr>
        <w:tblW w:w="0" w:type="auto"/>
        <w:tblLayout w:type="fixed"/>
        <w:tblCellMar>
          <w:left w:w="62" w:type="dxa"/>
          <w:right w:w="62" w:type="dxa"/>
        </w:tblCellMar>
        <w:tblLook w:val="0000"/>
      </w:tblPr>
      <w:tblGrid>
        <w:gridCol w:w="2557"/>
        <w:gridCol w:w="5965"/>
      </w:tblGrid>
      <w:tr w:rsidTr="0054743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BodyText"/>
            </w:pPr>
            <w:r w:rsidRPr="00760EC0">
              <w:t>Perfo</w:t>
            </w:r>
            <w:r w:rsidRPr="00760EC0">
              <w:t>rmance criteria describe the performance needed to demonstrate achievement of the element. Where bold italicised text is used, further information is detailed in the required skills and knowledge section and the range statement. Assessment of performance i</w:t>
            </w:r>
            <w:r w:rsidRPr="00760EC0">
              <w:t>s to be consistent with the evidence guide.</w:t>
            </w:r>
          </w:p>
        </w:tc>
      </w:tr>
    </w:tbl>
    <w:p w:rsidR="00000000" w:rsidRPr="00760EC0" w:rsidP="00760EC0">
      <w:pPr>
        <w:pStyle w:val="BodyText"/>
      </w:pPr>
    </w:p>
    <w:p w:rsidR="00000000" w:rsidRPr="00760EC0" w:rsidP="00760EC0">
      <w:pPr>
        <w:pStyle w:val="AllowPageBreak"/>
      </w:pPr>
    </w:p>
    <w:p w:rsidR="00000000" w:rsidRPr="00760EC0" w:rsidP="00760EC0">
      <w:pPr>
        <w:pStyle w:val="Heading1"/>
      </w:pPr>
      <w:bookmarkStart w:id="8" w:name="O_132982"/>
      <w:bookmarkEnd w:id="8"/>
      <w:r w:rsidRPr="00760EC0">
        <w:t>Elements and Performance Criteria</w:t>
      </w:r>
    </w:p>
    <w:tbl>
      <w:tblPr>
        <w:tblW w:w="0" w:type="auto"/>
        <w:tblLayout w:type="fixed"/>
        <w:tblCellMar>
          <w:left w:w="62" w:type="dxa"/>
          <w:right w:w="62" w:type="dxa"/>
        </w:tblCellMar>
        <w:tblLook w:val="0000"/>
      </w:tblPr>
      <w:tblGrid>
        <w:gridCol w:w="3471"/>
        <w:gridCol w:w="5051"/>
      </w:tblGrid>
      <w:tr w:rsidTr="005474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BodyText"/>
            </w:pPr>
            <w:r w:rsidRPr="00760EC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PERFORMANCE CRITERIA</w:t>
            </w:r>
          </w:p>
        </w:tc>
      </w:tr>
      <w:tr w:rsidTr="005474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List"/>
              <w:rPr>
                <w:lang w:val="en-NZ"/>
              </w:rPr>
            </w:pPr>
            <w:r w:rsidRPr="00760EC0">
              <w:t>1.</w:t>
            </w:r>
            <w:r w:rsidRPr="00760EC0">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2"/>
            </w:pPr>
            <w:r w:rsidRPr="00760EC0">
              <w:t>1.1.</w:t>
            </w:r>
            <w:r w:rsidRPr="00760EC0">
              <w:tab/>
              <w:t xml:space="preserve">Access, interpret and apply </w:t>
            </w:r>
            <w:r w:rsidRPr="00760EC0">
              <w:rPr>
                <w:rStyle w:val="BoldandItalics"/>
              </w:rPr>
              <w:t>compliance documentation</w:t>
            </w:r>
            <w:r w:rsidRPr="00760EC0">
              <w:t xml:space="preserve"> relevant to the providing of deck support for conveyor-car high wall mining operation</w:t>
            </w:r>
          </w:p>
          <w:p w:rsidR="00000000" w:rsidRPr="00760EC0" w:rsidP="00760EC0">
            <w:pPr>
              <w:pStyle w:val="List2"/>
            </w:pPr>
            <w:r w:rsidRPr="00760EC0">
              <w:t>1.2.</w:t>
            </w:r>
            <w:r w:rsidRPr="00760EC0">
              <w:tab/>
              <w:t xml:space="preserve">Obtain, interpret and clarify/confirm </w:t>
            </w:r>
            <w:r w:rsidRPr="00760EC0">
              <w:rPr>
                <w:rStyle w:val="BoldandItalics"/>
              </w:rPr>
              <w:t>work requirements</w:t>
            </w:r>
            <w:r w:rsidRPr="00760EC0">
              <w:t xml:space="preserve"> before proceeding, to provide deck support for </w:t>
            </w:r>
            <w:r w:rsidRPr="00760EC0">
              <w:rPr>
                <w:rStyle w:val="BoldandItalics"/>
              </w:rPr>
              <w:t>conveyor</w:t>
            </w:r>
            <w:r w:rsidRPr="00760EC0">
              <w:t>-</w:t>
            </w:r>
            <w:r w:rsidRPr="00760EC0">
              <w:rPr>
                <w:rStyle w:val="BoldandItalics"/>
              </w:rPr>
              <w:t>car high wall mining</w:t>
            </w:r>
            <w:r w:rsidRPr="00760EC0">
              <w:t xml:space="preserve"> operation</w:t>
            </w:r>
          </w:p>
          <w:p w:rsidR="00000000" w:rsidRPr="00760EC0" w:rsidP="00760EC0">
            <w:pPr>
              <w:pStyle w:val="List2"/>
            </w:pPr>
            <w:r w:rsidRPr="00760EC0">
              <w:t>1.3.</w:t>
            </w:r>
            <w:r w:rsidRPr="00760EC0">
              <w:tab/>
              <w:t>Access, interpre</w:t>
            </w:r>
            <w:r w:rsidRPr="00760EC0">
              <w:t xml:space="preserve">t and apply </w:t>
            </w:r>
            <w:r w:rsidRPr="00760EC0">
              <w:rPr>
                <w:rStyle w:val="BoldandItalics"/>
              </w:rPr>
              <w:t>geological and survey data</w:t>
            </w:r>
            <w:r w:rsidRPr="00760EC0">
              <w:t xml:space="preserve"> required to complete the allocated work</w:t>
            </w:r>
          </w:p>
          <w:p w:rsidR="00000000" w:rsidRPr="00760EC0" w:rsidP="00760EC0">
            <w:pPr>
              <w:pStyle w:val="List2"/>
            </w:pPr>
            <w:r w:rsidRPr="00760EC0">
              <w:t>1.4.</w:t>
            </w:r>
            <w:r w:rsidRPr="00760EC0">
              <w:tab/>
              <w:t>Carry out pre-start procedures</w:t>
            </w:r>
          </w:p>
          <w:p w:rsidR="00000000" w:rsidRPr="00760EC0" w:rsidP="00760EC0">
            <w:pPr>
              <w:pStyle w:val="List2"/>
            </w:pPr>
            <w:r w:rsidRPr="00760EC0">
              <w:t>1.5.</w:t>
            </w:r>
            <w:r w:rsidRPr="00760EC0">
              <w:tab/>
              <w:t xml:space="preserve">Access and apply </w:t>
            </w:r>
            <w:r w:rsidRPr="00760EC0">
              <w:rPr>
                <w:rStyle w:val="BoldandItalics"/>
              </w:rPr>
              <w:t>safety information and procedures</w:t>
            </w:r>
            <w:r w:rsidRPr="00760EC0">
              <w:t xml:space="preserve"> throughout the work</w:t>
            </w:r>
          </w:p>
          <w:p w:rsidR="00000000" w:rsidP="00760EC0">
            <w:pPr>
              <w:pStyle w:val="List2"/>
              <w:rPr>
                <w:lang w:val="en-NZ"/>
              </w:rPr>
            </w:pPr>
            <w:r w:rsidRPr="00760EC0">
              <w:t>1.6.</w:t>
            </w:r>
            <w:r w:rsidRPr="00760EC0">
              <w:tab/>
              <w:t xml:space="preserve">Recognise and </w:t>
            </w:r>
            <w:r w:rsidRPr="00760EC0">
              <w:rPr>
                <w:rStyle w:val="BoldandItalics"/>
              </w:rPr>
              <w:t>respond to emergency</w:t>
            </w:r>
            <w:r w:rsidRPr="00760EC0">
              <w:t xml:space="preserve"> and/or </w:t>
            </w:r>
            <w:r w:rsidRPr="00760EC0">
              <w:rPr>
                <w:rStyle w:val="BoldandItalics"/>
              </w:rPr>
              <w:t>hazardous conditio</w:t>
            </w:r>
            <w:r w:rsidRPr="00760EC0">
              <w:rPr>
                <w:rStyle w:val="BoldandItalics"/>
              </w:rPr>
              <w:t>ns</w:t>
            </w:r>
            <w:r w:rsidRPr="00760EC0">
              <w:t xml:space="preserve"> throughout the work sequences</w:t>
            </w:r>
          </w:p>
        </w:tc>
      </w:tr>
      <w:tr w:rsidTr="005474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List"/>
              <w:rPr>
                <w:lang w:val="en-NZ"/>
              </w:rPr>
            </w:pPr>
            <w:r w:rsidRPr="00760EC0">
              <w:t>2.</w:t>
            </w:r>
            <w:r w:rsidRPr="00760EC0">
              <w:tab/>
              <w:t>Load and unload cars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2"/>
            </w:pPr>
            <w:r w:rsidRPr="00760EC0">
              <w:t>2.1.</w:t>
            </w:r>
            <w:r w:rsidRPr="00760EC0">
              <w:tab/>
            </w:r>
            <w:r w:rsidRPr="00760EC0">
              <w:rPr>
                <w:rStyle w:val="BoldandItalics"/>
              </w:rPr>
              <w:t>Coordinate</w:t>
            </w:r>
            <w:r w:rsidRPr="00760EC0">
              <w:t xml:space="preserve"> activities related to the loading and unloading of cars with others at the site prior to commencement of, and during, the work activity</w:t>
            </w:r>
          </w:p>
          <w:p w:rsidR="00000000" w:rsidRPr="00760EC0" w:rsidP="00760EC0">
            <w:pPr>
              <w:pStyle w:val="List2"/>
            </w:pPr>
            <w:r w:rsidRPr="00760EC0">
              <w:t>2.2.</w:t>
            </w:r>
            <w:r w:rsidRPr="00760EC0">
              <w:tab/>
              <w:t xml:space="preserve">Carry out the </w:t>
            </w:r>
            <w:r w:rsidRPr="00760EC0">
              <w:rPr>
                <w:rStyle w:val="BoldandItalics"/>
              </w:rPr>
              <w:t>staging and positioning</w:t>
            </w:r>
            <w:r w:rsidRPr="00760EC0">
              <w:t xml:space="preserve"> of </w:t>
            </w:r>
            <w:r w:rsidRPr="00760EC0">
              <w:t>cars correctly in accordance with manufacturer instructions and site procedures/plans</w:t>
            </w:r>
          </w:p>
          <w:p w:rsidR="00000000" w:rsidP="00760EC0">
            <w:pPr>
              <w:pStyle w:val="List2"/>
              <w:rPr>
                <w:lang w:val="en-NZ"/>
              </w:rPr>
            </w:pPr>
            <w:r w:rsidRPr="00760EC0">
              <w:t>2.3.</w:t>
            </w:r>
            <w:r w:rsidRPr="00760EC0">
              <w:tab/>
              <w:t xml:space="preserve">Carry out </w:t>
            </w:r>
            <w:r w:rsidRPr="00760EC0">
              <w:rPr>
                <w:rStyle w:val="BoldandItalics"/>
              </w:rPr>
              <w:t>cable connections</w:t>
            </w:r>
            <w:r w:rsidRPr="00760EC0">
              <w:t xml:space="preserve"> correctly</w:t>
            </w:r>
          </w:p>
        </w:tc>
      </w:tr>
      <w:tr w:rsidTr="005474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List"/>
              <w:rPr>
                <w:lang w:val="en-NZ"/>
              </w:rPr>
            </w:pPr>
            <w:r w:rsidRPr="00760EC0">
              <w:t>3.</w:t>
            </w:r>
            <w:r w:rsidRPr="00760EC0">
              <w:tab/>
              <w:t>Operate cars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2"/>
            </w:pPr>
            <w:r w:rsidRPr="00760EC0">
              <w:t>3.1.</w:t>
            </w:r>
            <w:r w:rsidRPr="00760EC0">
              <w:tab/>
              <w:t xml:space="preserve">Coordinate activities related to the operation of cars with others at the site prior to commencement of, </w:t>
            </w:r>
            <w:r w:rsidRPr="00760EC0">
              <w:t>and during, the work activity</w:t>
            </w:r>
          </w:p>
          <w:p w:rsidR="00000000" w:rsidRPr="00760EC0" w:rsidP="00760EC0">
            <w:pPr>
              <w:pStyle w:val="List2"/>
            </w:pPr>
            <w:r w:rsidRPr="00760EC0">
              <w:t>3.2.</w:t>
            </w:r>
            <w:r w:rsidRPr="00760EC0">
              <w:tab/>
              <w:t>Carry out start-up, sequencing and shutdown procedures</w:t>
            </w:r>
          </w:p>
          <w:p w:rsidR="00000000" w:rsidRPr="00760EC0" w:rsidP="00760EC0">
            <w:pPr>
              <w:pStyle w:val="List2"/>
            </w:pPr>
            <w:r w:rsidRPr="00760EC0">
              <w:t>3.3.</w:t>
            </w:r>
            <w:r w:rsidRPr="00760EC0">
              <w:tab/>
              <w:t>Remove surface dust from cars in accordance with site procedures and facilities.</w:t>
            </w:r>
          </w:p>
          <w:p w:rsidR="00000000" w:rsidRPr="00760EC0" w:rsidP="00760EC0">
            <w:pPr>
              <w:pStyle w:val="List2"/>
            </w:pPr>
            <w:r w:rsidRPr="00760EC0">
              <w:t>3.4.</w:t>
            </w:r>
            <w:r w:rsidRPr="00760EC0">
              <w:tab/>
              <w:t>Pin and unpin cars in accordance with mining procedures and plans</w:t>
            </w:r>
          </w:p>
          <w:p w:rsidR="00000000" w:rsidP="00760EC0">
            <w:pPr>
              <w:pStyle w:val="List2"/>
              <w:rPr>
                <w:lang w:val="en-NZ"/>
              </w:rPr>
            </w:pPr>
            <w:r w:rsidRPr="00760EC0">
              <w:t>3.5.</w:t>
            </w:r>
            <w:r w:rsidRPr="00760EC0">
              <w:tab/>
              <w:t>Comp</w:t>
            </w:r>
            <w:r w:rsidRPr="00760EC0">
              <w:t>lete work in accordance with the agreed plan and outcomes and within the operating capacities of the allocated equipment</w:t>
            </w:r>
          </w:p>
        </w:tc>
      </w:tr>
      <w:tr w:rsidTr="005474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List"/>
              <w:rPr>
                <w:lang w:val="en-NZ"/>
              </w:rPr>
            </w:pPr>
            <w:r w:rsidRPr="00760EC0">
              <w:t>4.</w:t>
            </w:r>
            <w:r w:rsidRPr="00760EC0">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2"/>
            </w:pPr>
            <w:r w:rsidRPr="00760EC0">
              <w:t>4.1.</w:t>
            </w:r>
            <w:r w:rsidRPr="00760EC0">
              <w:tab/>
              <w:t>Carry out equipment inspections and fault finding</w:t>
            </w:r>
          </w:p>
          <w:p w:rsidR="00000000" w:rsidRPr="00760EC0" w:rsidP="00760EC0">
            <w:pPr>
              <w:pStyle w:val="List2"/>
            </w:pPr>
            <w:r w:rsidRPr="00760EC0">
              <w:t>4.2.</w:t>
            </w:r>
            <w:r w:rsidRPr="00760EC0">
              <w:tab/>
            </w:r>
            <w:r w:rsidRPr="00760EC0">
              <w:t>Carry out routine operational servicing, lubrication and housekeeping tasks</w:t>
            </w:r>
          </w:p>
          <w:p w:rsidR="00000000" w:rsidRPr="00760EC0" w:rsidP="00760EC0">
            <w:pPr>
              <w:pStyle w:val="List2"/>
            </w:pPr>
            <w:r w:rsidRPr="00760EC0">
              <w:t>4.3.</w:t>
            </w:r>
            <w:r w:rsidRPr="00760EC0">
              <w:tab/>
              <w:t>Carry out minor maintenance to manufacturer instructions and site requirements</w:t>
            </w:r>
          </w:p>
          <w:p w:rsidR="00000000" w:rsidRPr="00760EC0" w:rsidP="00760EC0">
            <w:pPr>
              <w:pStyle w:val="List2"/>
            </w:pPr>
            <w:r w:rsidRPr="00760EC0">
              <w:t>4.4.</w:t>
            </w:r>
            <w:r w:rsidRPr="00760EC0">
              <w:tab/>
              <w:t>Provide operator support during preparation for, and conduct of, major maintenance tasks</w:t>
            </w:r>
          </w:p>
          <w:p w:rsidR="00000000" w:rsidRPr="00760EC0" w:rsidP="00760EC0">
            <w:pPr>
              <w:pStyle w:val="List2"/>
            </w:pPr>
            <w:r w:rsidRPr="00760EC0">
              <w:t>4.</w:t>
            </w:r>
            <w:r w:rsidRPr="00760EC0">
              <w:t>5.</w:t>
            </w:r>
            <w:r w:rsidRPr="00760EC0">
              <w:tab/>
              <w:t>Process records</w:t>
            </w:r>
          </w:p>
        </w:tc>
      </w:tr>
    </w:tbl>
    <w:p w:rsidR="00000000" w:rsidRPr="00760EC0" w:rsidP="00760EC0">
      <w:pPr>
        <w:pStyle w:val="BodyText"/>
      </w:pPr>
    </w:p>
    <w:p w:rsidR="00000000" w:rsidRPr="00760EC0" w:rsidP="00760EC0">
      <w:pPr>
        <w:pStyle w:val="AllowPageBreak"/>
      </w:pPr>
    </w:p>
    <w:p w:rsidR="00000000" w:rsidRPr="00760EC0" w:rsidP="00760EC0">
      <w:pPr>
        <w:pStyle w:val="Heading1"/>
      </w:pPr>
      <w:bookmarkStart w:id="9" w:name="O_132983"/>
      <w:bookmarkEnd w:id="9"/>
      <w:r w:rsidRPr="00760EC0">
        <w:t>Required Skills and Knowledge</w:t>
      </w:r>
    </w:p>
    <w:tbl>
      <w:tblPr>
        <w:tblW w:w="0" w:type="auto"/>
        <w:tblLayout w:type="fixed"/>
        <w:tblCellMar>
          <w:left w:w="62" w:type="dxa"/>
          <w:right w:w="62" w:type="dxa"/>
        </w:tblCellMar>
        <w:tblLook w:val="0000"/>
      </w:tblPr>
      <w:tblGrid>
        <w:gridCol w:w="8522"/>
      </w:tblGrid>
      <w:tr w:rsidTr="005474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t>This section describes the skills and knowledge required for this unit.</w:t>
            </w:r>
          </w:p>
        </w:tc>
      </w:tr>
      <w:tr w:rsidTr="005474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Required skills</w:t>
            </w:r>
          </w:p>
        </w:tc>
      </w:tr>
      <w:tr w:rsidTr="005474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BodyText"/>
            </w:pPr>
            <w:r w:rsidRPr="00760EC0">
              <w:t>Specific skills are required to achieve the performance criteria in this unit, particularly for the application in the various circumstances in which this unit may be applied. This includes the ability to carry out the following as required to provide deck</w:t>
            </w:r>
            <w:r w:rsidRPr="00760EC0">
              <w:t xml:space="preserve"> support for conveyor-car high wall mining operation:</w:t>
            </w:r>
          </w:p>
          <w:p w:rsidR="00000000" w:rsidRPr="00760EC0" w:rsidP="00760EC0">
            <w:pPr>
              <w:pStyle w:val="ListBullet"/>
            </w:pPr>
            <w:r w:rsidRPr="00760EC0">
              <w:t>apply legislative, organisation and site requirements and procedures</w:t>
            </w:r>
          </w:p>
          <w:p w:rsidR="00000000" w:rsidRPr="00760EC0" w:rsidP="00760EC0">
            <w:pPr>
              <w:pStyle w:val="ListBullet"/>
            </w:pPr>
            <w:r w:rsidRPr="00760EC0">
              <w:t>apply operational safety requirements</w:t>
            </w:r>
          </w:p>
          <w:p w:rsidR="00000000" w:rsidRPr="00760EC0" w:rsidP="00760EC0">
            <w:pPr>
              <w:pStyle w:val="ListBullet"/>
            </w:pPr>
            <w:r w:rsidRPr="00760EC0">
              <w:t>access, interpret and apply technical information</w:t>
            </w:r>
          </w:p>
          <w:p w:rsidR="00000000" w:rsidRPr="00760EC0" w:rsidP="00760EC0">
            <w:pPr>
              <w:pStyle w:val="ListBullet"/>
            </w:pPr>
            <w:r w:rsidRPr="00760EC0">
              <w:t>apply hand-eye coordination</w:t>
            </w:r>
          </w:p>
          <w:p w:rsidR="00000000" w:rsidRPr="00760EC0" w:rsidP="00760EC0">
            <w:pPr>
              <w:pStyle w:val="ListBullet"/>
            </w:pPr>
            <w:r w:rsidRPr="00760EC0">
              <w:t>work wearing nois</w:t>
            </w:r>
            <w:r w:rsidRPr="00760EC0">
              <w:t>e protection equipment</w:t>
            </w:r>
          </w:p>
          <w:p w:rsidR="00000000" w:rsidRPr="00760EC0" w:rsidP="00760EC0">
            <w:pPr>
              <w:pStyle w:val="ListBullet"/>
            </w:pPr>
            <w:r w:rsidRPr="00760EC0">
              <w:t>apply diagnostic techniques</w:t>
            </w:r>
          </w:p>
          <w:p w:rsidR="00000000" w:rsidRPr="00760EC0" w:rsidP="00760EC0">
            <w:pPr>
              <w:pStyle w:val="ListBullet"/>
            </w:pPr>
            <w:r w:rsidRPr="00760EC0">
              <w:t>use hand tools</w:t>
            </w:r>
          </w:p>
          <w:p w:rsidR="00000000" w:rsidRPr="00760EC0" w:rsidP="00760EC0">
            <w:pPr>
              <w:pStyle w:val="ListBullet"/>
            </w:pPr>
            <w:r w:rsidRPr="00760EC0">
              <w:t>apply equipment records maintenance requirements</w:t>
            </w:r>
          </w:p>
          <w:p w:rsidR="00000000" w:rsidRPr="00760EC0" w:rsidP="00760EC0">
            <w:pPr>
              <w:pStyle w:val="ListBullet"/>
            </w:pPr>
            <w:r w:rsidRPr="00760EC0">
              <w:t>apply procedures for the dispose of environmentally sensitive fluids and materials</w:t>
            </w:r>
          </w:p>
          <w:p w:rsidR="00000000" w:rsidP="00760EC0">
            <w:pPr>
              <w:pStyle w:val="ListBullet"/>
              <w:rPr>
                <w:lang w:val="en-NZ"/>
              </w:rPr>
            </w:pPr>
            <w:r w:rsidRPr="00760EC0">
              <w:t>apply chemical and fuel safety measures</w:t>
            </w:r>
          </w:p>
        </w:tc>
      </w:tr>
      <w:tr w:rsidTr="005474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Required knowledg</w:t>
            </w:r>
            <w:r w:rsidRPr="00760EC0">
              <w:rPr>
                <w:rStyle w:val="SpecialBold"/>
              </w:rPr>
              <w:t>e</w:t>
            </w:r>
          </w:p>
        </w:tc>
      </w:tr>
      <w:tr w:rsidTr="005474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BodyText"/>
            </w:pPr>
            <w:r w:rsidRPr="00760EC0">
              <w:t xml:space="preserve">Specific knowledge is required to achieve the Performance Criteria of this unit, particularly its application in a variety of circumstances in which the unit may be used. This includes knowledge of the following, as required to provide deck support for </w:t>
            </w:r>
            <w:r w:rsidRPr="00760EC0">
              <w:t>conveyor-car high wall mining operation:</w:t>
            </w:r>
          </w:p>
          <w:p w:rsidR="00000000" w:rsidRPr="00760EC0" w:rsidP="00760EC0">
            <w:pPr>
              <w:pStyle w:val="ListBullet"/>
            </w:pPr>
            <w:r w:rsidRPr="00760EC0">
              <w:t>site and equipment safety procedures</w:t>
            </w:r>
          </w:p>
          <w:p w:rsidR="00000000" w:rsidRPr="00760EC0" w:rsidP="00760EC0">
            <w:pPr>
              <w:pStyle w:val="ListBullet"/>
            </w:pPr>
            <w:r w:rsidRPr="00760EC0">
              <w:t>site mining systems and procedures</w:t>
            </w:r>
          </w:p>
          <w:p w:rsidR="00000000" w:rsidRPr="00760EC0" w:rsidP="00760EC0">
            <w:pPr>
              <w:pStyle w:val="ListBullet"/>
            </w:pPr>
            <w:r w:rsidRPr="00760EC0">
              <w:t>conveyor-car equipment characteristics, technical capabilities and limitations</w:t>
            </w:r>
          </w:p>
          <w:p w:rsidR="00000000" w:rsidRPr="00760EC0" w:rsidP="00760EC0">
            <w:pPr>
              <w:pStyle w:val="ListBullet"/>
            </w:pPr>
            <w:r w:rsidRPr="00760EC0">
              <w:t>conveyor-car maintenance systems and procedures</w:t>
            </w:r>
          </w:p>
          <w:p w:rsidR="00000000" w:rsidRPr="00760EC0" w:rsidP="00760EC0">
            <w:pPr>
              <w:pStyle w:val="ListBullet"/>
            </w:pPr>
            <w:r w:rsidRPr="00760EC0">
              <w:t>site geological and survey data</w:t>
            </w:r>
          </w:p>
          <w:p w:rsidR="00000000" w:rsidRPr="00760EC0" w:rsidP="00760EC0">
            <w:pPr>
              <w:pStyle w:val="ListBullet"/>
            </w:pPr>
            <w:r w:rsidRPr="00760EC0">
              <w:t>mine gases and their properties / impacts</w:t>
            </w:r>
          </w:p>
          <w:p w:rsidR="00000000" w:rsidRPr="00760EC0" w:rsidP="00760EC0">
            <w:pPr>
              <w:pStyle w:val="ListBullet"/>
            </w:pPr>
            <w:r w:rsidRPr="00760EC0">
              <w:t>deck based gas monitoring systems, processes and responses</w:t>
            </w:r>
          </w:p>
          <w:p w:rsidR="00000000" w:rsidRPr="00760EC0" w:rsidP="00760EC0">
            <w:pPr>
              <w:pStyle w:val="ListBullet"/>
            </w:pPr>
            <w:r w:rsidRPr="00760EC0">
              <w:t>cable management procedures</w:t>
            </w:r>
          </w:p>
          <w:p w:rsidR="00000000" w:rsidRPr="00760EC0" w:rsidP="00760EC0">
            <w:pPr>
              <w:pStyle w:val="ListBullet"/>
            </w:pPr>
            <w:r w:rsidRPr="00760EC0">
              <w:t>emergency retraction procedures</w:t>
            </w:r>
          </w:p>
          <w:p w:rsidR="00000000" w:rsidRPr="00760EC0" w:rsidP="00760EC0">
            <w:pPr>
              <w:pStyle w:val="ListBullet"/>
            </w:pPr>
            <w:r w:rsidRPr="00760EC0">
              <w:t>emergency evacuation and fire procedures</w:t>
            </w:r>
          </w:p>
          <w:p w:rsidR="00000000" w:rsidRPr="00760EC0" w:rsidP="00760EC0">
            <w:pPr>
              <w:pStyle w:val="ListBullet"/>
            </w:pPr>
            <w:r w:rsidRPr="00760EC0">
              <w:t>site environmental req</w:t>
            </w:r>
            <w:r w:rsidRPr="00760EC0">
              <w:t>uirements and constraints related to conveyor-car high wall mining operations</w:t>
            </w:r>
          </w:p>
        </w:tc>
      </w:tr>
    </w:tbl>
    <w:p w:rsidR="00000000" w:rsidRPr="00760EC0" w:rsidP="00760EC0">
      <w:pPr>
        <w:pStyle w:val="BodyText"/>
      </w:pPr>
    </w:p>
    <w:p w:rsidR="00000000" w:rsidRPr="00760EC0" w:rsidP="00760EC0">
      <w:pPr>
        <w:pStyle w:val="AllowPageBreak"/>
      </w:pPr>
    </w:p>
    <w:p w:rsidR="00000000" w:rsidRPr="00760EC0" w:rsidP="00760EC0">
      <w:pPr>
        <w:pStyle w:val="Heading1"/>
      </w:pPr>
      <w:bookmarkStart w:id="10" w:name="O_132984"/>
      <w:bookmarkEnd w:id="10"/>
      <w:r w:rsidRPr="00760EC0">
        <w:t>Evidence Guide</w:t>
      </w:r>
    </w:p>
    <w:tbl>
      <w:tblPr>
        <w:tblW w:w="0" w:type="auto"/>
        <w:tblLayout w:type="fixed"/>
        <w:tblCellMar>
          <w:left w:w="62" w:type="dxa"/>
          <w:right w:w="62" w:type="dxa"/>
        </w:tblCellMar>
        <w:tblLook w:val="0000"/>
      </w:tblPr>
      <w:tblGrid>
        <w:gridCol w:w="3448"/>
        <w:gridCol w:w="5074"/>
      </w:tblGrid>
      <w:tr w:rsidTr="005474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t>The evidence guide provides advice on assessment and must be read in conjunction with the performance criteria, required skills and knowledge, r</w:t>
            </w:r>
            <w:r w:rsidRPr="00760EC0">
              <w:t>ange statement and the Assessment Guidelines for the Training Package.</w:t>
            </w:r>
          </w:p>
        </w:tc>
      </w:tr>
      <w:tr w:rsidTr="005474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p>
        </w:tc>
      </w:tr>
      <w:tr w:rsidTr="005474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BodyText"/>
            </w:pPr>
            <w:r w:rsidRPr="00760EC0">
              <w:t>The evidence required to demonstrate competency in this unit must be relevant to worksite operations and satisfy all of the requirements of the performance criteria, required skills and knowledge and the range statement of this unit and include evidence of</w:t>
            </w:r>
            <w:r w:rsidRPr="00760EC0">
              <w:t xml:space="preserve"> the following:</w:t>
            </w:r>
          </w:p>
          <w:p w:rsidR="00000000" w:rsidRPr="00760EC0" w:rsidP="00760EC0">
            <w:pPr>
              <w:pStyle w:val="ListBullet"/>
            </w:pPr>
            <w:r w:rsidRPr="00760EC0">
              <w:t>knowledge of the requirements, procedures and instructions for providing deck support for conveyor-car high wall mining operation</w:t>
            </w:r>
          </w:p>
          <w:p w:rsidR="00000000" w:rsidRPr="00760EC0" w:rsidP="00760EC0">
            <w:pPr>
              <w:pStyle w:val="ListBullet"/>
            </w:pPr>
            <w:r w:rsidRPr="00760EC0">
              <w:t xml:space="preserve">implementation of requirements, procedures and techniques for the safe, effective and efficient completion of </w:t>
            </w:r>
            <w:r w:rsidRPr="00760EC0">
              <w:t xml:space="preserve">the provision of deck support for conveyor-car high wall mining operation </w:t>
            </w:r>
          </w:p>
          <w:p w:rsidR="00000000" w:rsidRPr="00760EC0" w:rsidP="00760EC0">
            <w:pPr>
              <w:pStyle w:val="ListBullet"/>
            </w:pPr>
            <w:r w:rsidRPr="00760EC0">
              <w:t>working with others to undertake and complete the provision of deck support for conveyor-car high wall mining operation that meets all of the required outcomes</w:t>
            </w:r>
          </w:p>
          <w:p w:rsidR="00000000" w:rsidP="00760EC0">
            <w:pPr>
              <w:pStyle w:val="ListBullet"/>
              <w:rPr>
                <w:lang w:val="en-NZ"/>
              </w:rPr>
            </w:pPr>
            <w:r w:rsidRPr="00760EC0">
              <w:t>consistent timely com</w:t>
            </w:r>
            <w:r w:rsidRPr="00760EC0">
              <w:t>pletion of the provision of deck support for conveyor-car high wall mining operation that safely, effectively and efficiently meets the required outcomes</w:t>
            </w:r>
          </w:p>
        </w:tc>
      </w:tr>
      <w:tr w:rsidTr="005474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Bullet"/>
            </w:pPr>
            <w:r w:rsidRPr="00760EC0">
              <w:t>This unit must be assessed in the context of the wor</w:t>
            </w:r>
            <w:r w:rsidRPr="00760EC0">
              <w:t>k environment. Where personal safety or environmental damage are limiting factors, assessment may occur in a simulated environment provided it is realistic and sufficiently rigorous to cover all aspects of workplace performance, including task skills, task</w:t>
            </w:r>
            <w:r w:rsidRPr="00760EC0">
              <w:t xml:space="preserve"> management skills, contingency management skills and job role environment skills.</w:t>
            </w:r>
          </w:p>
          <w:p w:rsidR="00000000" w:rsidRPr="00760EC0" w:rsidP="00760EC0">
            <w:pPr>
              <w:pStyle w:val="ListBullet"/>
            </w:pPr>
            <w:r w:rsidRPr="00760EC0">
              <w:t>The assessment environment should not disadvantage the participant. For example, language, literacy and numeracy demands of assessment should not be greater than those requi</w:t>
            </w:r>
            <w:r w:rsidRPr="00760EC0">
              <w:t xml:space="preserve">red on the job. </w:t>
            </w:r>
          </w:p>
          <w:p w:rsidR="00000000" w:rsidRPr="00760EC0" w:rsidP="00760EC0">
            <w:pPr>
              <w:pStyle w:val="ListBullet"/>
            </w:pPr>
            <w:r w:rsidRPr="00760EC0">
              <w:t>Customisation of assessment and delivery environment to sensitively accommodate cultural diversity.</w:t>
            </w:r>
          </w:p>
          <w:p w:rsidR="00000000" w:rsidRPr="00760EC0" w:rsidP="00760EC0">
            <w:pPr>
              <w:pStyle w:val="ListBullet"/>
            </w:pPr>
            <w:r w:rsidRPr="00760EC0">
              <w:t>Aboriginal people and other people from a non English speaking background may have second language issues.</w:t>
            </w:r>
          </w:p>
          <w:p w:rsidR="00000000" w:rsidRPr="00760EC0" w:rsidP="00760EC0">
            <w:pPr>
              <w:pStyle w:val="ListBullet"/>
            </w:pPr>
            <w:r w:rsidRPr="00760EC0">
              <w:t xml:space="preserve">Assessment of this competency requires typical resources normally used in the work environment. Selection and use of resources for particular worksites may differ due to site circumstances. </w:t>
            </w:r>
          </w:p>
          <w:p w:rsidR="00000000" w:rsidRPr="00760EC0" w:rsidP="00760EC0">
            <w:pPr>
              <w:pStyle w:val="ListBullet"/>
            </w:pPr>
            <w:r w:rsidRPr="00760EC0">
              <w:t>Where applicable, physical resources should include equipment mod</w:t>
            </w:r>
            <w:r w:rsidRPr="00760EC0">
              <w:t xml:space="preserve">ified for people with disabilities. </w:t>
            </w:r>
          </w:p>
          <w:p w:rsidR="00000000" w:rsidP="00760EC0">
            <w:pPr>
              <w:pStyle w:val="ListBullet"/>
              <w:rPr>
                <w:lang w:val="en-NZ"/>
              </w:rPr>
            </w:pPr>
            <w:r w:rsidRPr="00760EC0">
              <w:t>Access must be provided to appropriate learning and/or assessment support when required.</w:t>
            </w:r>
          </w:p>
        </w:tc>
      </w:tr>
      <w:tr w:rsidTr="005474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BodyText"/>
            </w:pPr>
            <w:r w:rsidRPr="00760EC0">
              <w:t>This unit may be assessed in a holistic way with other units of competency.  The assessment strategy for thi</w:t>
            </w:r>
            <w:r w:rsidRPr="00760EC0">
              <w:t xml:space="preserve">s unit must verify required knowledge and skill and practical application using more than one of the following assessment methods: </w:t>
            </w:r>
          </w:p>
          <w:p w:rsidR="00000000" w:rsidRPr="00760EC0" w:rsidP="00760EC0">
            <w:pPr>
              <w:pStyle w:val="ListBullet"/>
            </w:pPr>
            <w:r w:rsidRPr="00760EC0">
              <w:t>written and/or oral assessment of the candidate's required knowledge</w:t>
            </w:r>
          </w:p>
          <w:p w:rsidR="00000000" w:rsidRPr="00760EC0" w:rsidP="00760EC0">
            <w:pPr>
              <w:pStyle w:val="ListBullet"/>
            </w:pPr>
            <w:r w:rsidRPr="00760EC0">
              <w:t>observed, documented and/or first hand testimonial evid</w:t>
            </w:r>
            <w:r w:rsidRPr="00760EC0">
              <w:t>ence of the candidate's:</w:t>
            </w:r>
          </w:p>
          <w:p w:rsidR="00000000" w:rsidRPr="00760EC0" w:rsidP="00760EC0">
            <w:pPr>
              <w:pStyle w:val="ListBullet2"/>
            </w:pPr>
            <w:r w:rsidRPr="00760EC0">
              <w:t>implementation of appropriate requirement, procedures and techniques for the safe, effective and efficient achievement of required outcomes</w:t>
            </w:r>
          </w:p>
          <w:p w:rsidR="00000000" w:rsidRPr="00760EC0" w:rsidP="00760EC0">
            <w:pPr>
              <w:pStyle w:val="ListBullet2"/>
            </w:pPr>
            <w:r w:rsidRPr="00760EC0">
              <w:t>consistently achieving the required outcomes</w:t>
            </w:r>
          </w:p>
          <w:p w:rsidR="00000000" w:rsidRPr="00760EC0" w:rsidP="00760EC0">
            <w:pPr>
              <w:pStyle w:val="ListBullet"/>
            </w:pPr>
            <w:r w:rsidRPr="00760EC0">
              <w:t>first hand testimonial evidence of the candidate's:</w:t>
            </w:r>
          </w:p>
          <w:p w:rsidR="00000000" w:rsidP="00760EC0">
            <w:pPr>
              <w:pStyle w:val="ListBullet2"/>
              <w:rPr>
                <w:lang w:val="en-NZ"/>
              </w:rPr>
            </w:pPr>
            <w:r w:rsidRPr="00760EC0">
              <w:t>working with others to undertake and complete deck support for conveyor-car high wall mining operation</w:t>
            </w:r>
          </w:p>
        </w:tc>
      </w:tr>
      <w:tr w:rsidTr="005474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BodyText"/>
            </w:pPr>
            <w:r w:rsidRPr="00760EC0">
              <w:t>Consult the SkillsDMC User Guide for further information on ass</w:t>
            </w:r>
            <w:r w:rsidRPr="00760EC0">
              <w:t>essment including access and equity issues.</w:t>
            </w:r>
          </w:p>
        </w:tc>
      </w:tr>
    </w:tbl>
    <w:p w:rsidR="00000000" w:rsidRPr="00760EC0" w:rsidP="00760EC0">
      <w:pPr>
        <w:pStyle w:val="BodyText"/>
      </w:pPr>
    </w:p>
    <w:p w:rsidR="00000000" w:rsidRPr="00760EC0" w:rsidP="00760EC0">
      <w:pPr>
        <w:pStyle w:val="AllowPageBreak"/>
      </w:pPr>
    </w:p>
    <w:p w:rsidR="00000000" w:rsidRPr="00760EC0" w:rsidP="00760EC0">
      <w:pPr>
        <w:pStyle w:val="Heading1"/>
      </w:pPr>
      <w:bookmarkStart w:id="11" w:name="O_132985"/>
      <w:bookmarkEnd w:id="11"/>
      <w:r w:rsidRPr="00760EC0">
        <w:t>Range Statement</w:t>
      </w:r>
    </w:p>
    <w:tbl>
      <w:tblPr>
        <w:tblW w:w="0" w:type="auto"/>
        <w:tblLayout w:type="fixed"/>
        <w:tblCellMar>
          <w:left w:w="62" w:type="dxa"/>
          <w:right w:w="62" w:type="dxa"/>
        </w:tblCellMar>
        <w:tblLook w:val="0000"/>
      </w:tblPr>
      <w:tblGrid>
        <w:gridCol w:w="3513"/>
        <w:gridCol w:w="5009"/>
      </w:tblGrid>
      <w:tr w:rsidTr="005474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t xml:space="preserve">The range statement relates to the unit of competency as a whole. It allows for different work environments and situations that may affect performance. Bold italicised wording, </w:t>
            </w:r>
            <w:r w:rsidRPr="00760EC0">
              <w:t>if used in the performance criteria, is detailed below. Essential operating conditions that may be present with training and assessment (depending on the work situation, needs of the candidate, accessibility of the item, and local industry and regional con</w:t>
            </w:r>
            <w:r w:rsidRPr="00760EC0">
              <w:t>texts) may also be included.</w:t>
            </w:r>
          </w:p>
        </w:tc>
      </w:tr>
      <w:tr w:rsidTr="0054743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BodyText"/>
            </w:pPr>
            <w:r w:rsidRPr="00760EC0">
              <w:rPr>
                <w:rStyle w:val="SpecialBold"/>
              </w:rPr>
              <w:t>Relevant compliance documentation</w:t>
            </w:r>
          </w:p>
          <w:p w:rsidR="00000000" w:rsidP="00760EC0">
            <w:pPr>
              <w:pStyle w:val="BodyText"/>
              <w:rPr>
                <w:lang w:val="en-NZ"/>
              </w:rPr>
            </w:pPr>
            <w:r w:rsidRPr="00760EC0">
              <w:t>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Bullet"/>
            </w:pPr>
            <w:r w:rsidRPr="00760EC0">
              <w:t>legislative, organisation and site requirements and procedures</w:t>
            </w:r>
          </w:p>
          <w:p w:rsidR="00000000" w:rsidRPr="00760EC0" w:rsidP="00760EC0">
            <w:pPr>
              <w:pStyle w:val="ListBullet"/>
            </w:pPr>
            <w:r w:rsidRPr="00760EC0">
              <w:t xml:space="preserve">manufacturer's guidelines and specifications </w:t>
            </w:r>
          </w:p>
          <w:p w:rsidR="00000000" w:rsidRPr="00760EC0" w:rsidP="00760EC0">
            <w:pPr>
              <w:pStyle w:val="ListBullet"/>
            </w:pPr>
            <w:r w:rsidRPr="00760EC0">
              <w:t>Australian standards</w:t>
            </w:r>
          </w:p>
          <w:p w:rsidR="00000000" w:rsidRPr="00760EC0" w:rsidP="00760EC0">
            <w:pPr>
              <w:pStyle w:val="ListBullet"/>
            </w:pPr>
            <w:r w:rsidRPr="00760EC0">
              <w:t>code of practice</w:t>
            </w:r>
          </w:p>
          <w:p w:rsidR="00000000" w:rsidRPr="00760EC0" w:rsidP="00760EC0">
            <w:pPr>
              <w:pStyle w:val="ListBullet"/>
            </w:pPr>
            <w:r w:rsidRPr="00760EC0">
              <w:t>Employment and workplace relations legislation</w:t>
            </w:r>
          </w:p>
          <w:p w:rsidR="00000000" w:rsidP="00760EC0">
            <w:pPr>
              <w:pStyle w:val="ListBullet"/>
              <w:rPr>
                <w:lang w:val="en-NZ"/>
              </w:rPr>
            </w:pPr>
            <w:r w:rsidRPr="00760EC0">
              <w:t>Equal Employment Opportunity and Disability Discrimination legislation</w:t>
            </w:r>
          </w:p>
        </w:tc>
      </w:tr>
      <w:tr w:rsidTr="0054743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Work requirements</w:t>
            </w:r>
            <w:r w:rsidRPr="00760EC0">
              <w:t xml:space="preserve"> may be in the form of:</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Bullet"/>
            </w:pPr>
            <w:r w:rsidRPr="00760EC0">
              <w:t>shift briefings</w:t>
            </w:r>
          </w:p>
          <w:p w:rsidR="00000000" w:rsidRPr="00760EC0" w:rsidP="00760EC0">
            <w:pPr>
              <w:pStyle w:val="ListBullet"/>
            </w:pPr>
            <w:r w:rsidRPr="00760EC0">
              <w:t>handover details, and/or</w:t>
            </w:r>
          </w:p>
          <w:p w:rsidR="00000000" w:rsidP="00760EC0">
            <w:pPr>
              <w:pStyle w:val="ListBullet"/>
              <w:rPr>
                <w:lang w:val="en-NZ"/>
              </w:rPr>
            </w:pPr>
            <w:r w:rsidRPr="00760EC0">
              <w:t>work orders</w:t>
            </w:r>
          </w:p>
        </w:tc>
      </w:tr>
      <w:tr w:rsidTr="0054743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Conveyor-car high wall mining</w:t>
            </w:r>
            <w:r w:rsidRPr="00760EC0">
              <w:t xml:space="preserve"> system deck activities may include launch vehicle and conveyor-cars powered by:</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Bullet"/>
            </w:pPr>
            <w:r w:rsidRPr="00760EC0">
              <w:t>electric (over hydraulic) systems</w:t>
            </w:r>
          </w:p>
          <w:p w:rsidR="00000000" w:rsidRPr="00760EC0" w:rsidP="00760EC0">
            <w:pPr>
              <w:pStyle w:val="ListBullet"/>
            </w:pPr>
            <w:r w:rsidRPr="00760EC0">
              <w:t>water supply</w:t>
            </w:r>
          </w:p>
          <w:p w:rsidR="00000000" w:rsidRPr="00760EC0" w:rsidP="00760EC0">
            <w:pPr>
              <w:pStyle w:val="ListBullet"/>
            </w:pPr>
            <w:r w:rsidRPr="00760EC0">
              <w:t>IGG</w:t>
            </w:r>
          </w:p>
          <w:p w:rsidR="00000000" w:rsidRPr="00760EC0" w:rsidP="00760EC0">
            <w:pPr>
              <w:pStyle w:val="ListBullet"/>
            </w:pPr>
            <w:r w:rsidRPr="00760EC0">
              <w:t xml:space="preserve">communications </w:t>
            </w:r>
          </w:p>
          <w:p w:rsidR="00000000" w:rsidP="00760EC0">
            <w:pPr>
              <w:pStyle w:val="ListBullet"/>
              <w:rPr>
                <w:lang w:val="en-NZ"/>
              </w:rPr>
            </w:pPr>
            <w:r w:rsidRPr="00760EC0">
              <w:t>gas monitoring devices</w:t>
            </w:r>
          </w:p>
        </w:tc>
      </w:tr>
      <w:tr w:rsidTr="0054743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Work requirements</w:t>
            </w:r>
            <w:r w:rsidRPr="00760EC0">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Bullet"/>
            </w:pPr>
            <w:r w:rsidRPr="00760EC0">
              <w:t>equipment / plant identification / allocation</w:t>
            </w:r>
          </w:p>
          <w:p w:rsidR="00000000" w:rsidRPr="00760EC0" w:rsidP="00760EC0">
            <w:pPr>
              <w:pStyle w:val="ListBullet"/>
            </w:pPr>
            <w:r w:rsidRPr="00760EC0">
              <w:t xml:space="preserve">nature </w:t>
            </w:r>
            <w:r w:rsidRPr="00760EC0">
              <w:t>and scope of the work</w:t>
            </w:r>
          </w:p>
          <w:p w:rsidR="00000000" w:rsidRPr="00760EC0" w:rsidP="00760EC0">
            <w:pPr>
              <w:pStyle w:val="ListBullet"/>
            </w:pPr>
            <w:r w:rsidRPr="00760EC0">
              <w:t>working conditions</w:t>
            </w:r>
          </w:p>
          <w:p w:rsidR="00000000" w:rsidRPr="00760EC0" w:rsidP="00760EC0">
            <w:pPr>
              <w:pStyle w:val="ListBullet"/>
            </w:pPr>
            <w:r w:rsidRPr="00760EC0">
              <w:t>achievement targets</w:t>
            </w:r>
          </w:p>
          <w:p w:rsidR="00000000" w:rsidRPr="00760EC0" w:rsidP="00760EC0">
            <w:pPr>
              <w:pStyle w:val="ListBullet"/>
            </w:pPr>
            <w:r w:rsidRPr="00760EC0">
              <w:t>site lighting arrangements</w:t>
            </w:r>
          </w:p>
          <w:p w:rsidR="00000000" w:rsidRPr="00760EC0" w:rsidP="00760EC0">
            <w:pPr>
              <w:pStyle w:val="ListBullet"/>
            </w:pPr>
            <w:r w:rsidRPr="00760EC0">
              <w:t xml:space="preserve">defects on machine </w:t>
            </w:r>
          </w:p>
          <w:p w:rsidR="00000000" w:rsidP="00760EC0">
            <w:pPr>
              <w:pStyle w:val="ListBullet"/>
              <w:rPr>
                <w:lang w:val="en-NZ"/>
              </w:rPr>
            </w:pPr>
            <w:r w:rsidRPr="00760EC0">
              <w:t>hazards and potential hazards</w:t>
            </w:r>
          </w:p>
        </w:tc>
      </w:tr>
      <w:tr w:rsidTr="0054743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Geological and survey data</w:t>
            </w:r>
            <w:r w:rsidRPr="00760EC0">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Bullet"/>
            </w:pPr>
            <w:r w:rsidRPr="00760EC0">
              <w:t>go / no-go zones</w:t>
            </w:r>
          </w:p>
          <w:p w:rsidR="00000000" w:rsidRPr="00760EC0" w:rsidP="00760EC0">
            <w:pPr>
              <w:pStyle w:val="ListBullet"/>
            </w:pPr>
            <w:r w:rsidRPr="00760EC0">
              <w:t>high-wall stability</w:t>
            </w:r>
          </w:p>
          <w:p w:rsidR="00000000" w:rsidRPr="00760EC0" w:rsidP="00760EC0">
            <w:pPr>
              <w:pStyle w:val="ListBullet"/>
            </w:pPr>
            <w:r w:rsidRPr="00760EC0">
              <w:t>gas conditions</w:t>
            </w:r>
          </w:p>
          <w:p w:rsidR="00000000" w:rsidP="00760EC0">
            <w:pPr>
              <w:pStyle w:val="ListBullet"/>
              <w:rPr>
                <w:lang w:val="en-NZ"/>
              </w:rPr>
            </w:pPr>
            <w:r w:rsidRPr="00760EC0">
              <w:t>other operational and safety related issues</w:t>
            </w:r>
          </w:p>
        </w:tc>
      </w:tr>
      <w:tr w:rsidTr="0054743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Safety information and procedures</w:t>
            </w:r>
            <w:r w:rsidRPr="00760EC0">
              <w:t xml:space="preserve"> may be contained in:</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Bullet"/>
            </w:pPr>
            <w:r w:rsidRPr="00760EC0">
              <w:t>legislation and regulations</w:t>
            </w:r>
          </w:p>
          <w:p w:rsidR="00000000" w:rsidRPr="00760EC0" w:rsidP="00760EC0">
            <w:pPr>
              <w:pStyle w:val="ListBullet"/>
            </w:pPr>
            <w:r w:rsidRPr="00760EC0">
              <w:t>relevant Australian standards</w:t>
            </w:r>
          </w:p>
          <w:p w:rsidR="00000000" w:rsidRPr="00760EC0" w:rsidP="00760EC0">
            <w:pPr>
              <w:pStyle w:val="ListBullet"/>
            </w:pPr>
            <w:r w:rsidRPr="00760EC0">
              <w:t>management plans</w:t>
            </w:r>
          </w:p>
          <w:p w:rsidR="00000000" w:rsidRPr="00760EC0" w:rsidP="00760EC0">
            <w:pPr>
              <w:pStyle w:val="ListBullet"/>
            </w:pPr>
            <w:r w:rsidRPr="00760EC0">
              <w:t>manager's rules</w:t>
            </w:r>
          </w:p>
          <w:p w:rsidR="00000000" w:rsidRPr="00760EC0" w:rsidP="00760EC0">
            <w:pPr>
              <w:pStyle w:val="ListBullet"/>
            </w:pPr>
            <w:r w:rsidRPr="00760EC0">
              <w:t>mining plans</w:t>
            </w:r>
          </w:p>
          <w:p w:rsidR="00000000" w:rsidRPr="00760EC0" w:rsidP="00760EC0">
            <w:pPr>
              <w:pStyle w:val="ListBullet"/>
            </w:pPr>
            <w:r w:rsidRPr="00760EC0">
              <w:t>OHS policy</w:t>
            </w:r>
          </w:p>
          <w:p w:rsidR="00000000" w:rsidP="00760EC0">
            <w:pPr>
              <w:pStyle w:val="ListBullet"/>
              <w:rPr>
                <w:lang w:val="en-NZ"/>
              </w:rPr>
            </w:pPr>
            <w:r w:rsidRPr="00760EC0">
              <w:t>code of practice</w:t>
            </w:r>
          </w:p>
        </w:tc>
      </w:tr>
      <w:tr w:rsidTr="0054743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Emergency response</w:t>
            </w:r>
            <w:r w:rsidRPr="00760EC0">
              <w:t xml:space="preserve"> may </w:t>
            </w:r>
            <w:r w:rsidRPr="00760EC0">
              <w:t>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Bullet"/>
            </w:pPr>
            <w:r w:rsidRPr="00760EC0">
              <w:t>blast door operations</w:t>
            </w:r>
          </w:p>
          <w:p w:rsidR="00000000" w:rsidRPr="00760EC0" w:rsidP="00760EC0">
            <w:pPr>
              <w:pStyle w:val="ListBullet"/>
            </w:pPr>
            <w:r w:rsidRPr="00760EC0">
              <w:t>stand-off ramp operations</w:t>
            </w:r>
          </w:p>
          <w:p w:rsidR="00000000" w:rsidRPr="00760EC0" w:rsidP="00760EC0">
            <w:pPr>
              <w:pStyle w:val="ListBullet"/>
            </w:pPr>
            <w:r w:rsidRPr="00760EC0">
              <w:t>re-action cylinder operations</w:t>
            </w:r>
          </w:p>
          <w:p w:rsidR="00000000" w:rsidRPr="00760EC0" w:rsidP="00760EC0">
            <w:pPr>
              <w:pStyle w:val="ListBullet"/>
            </w:pPr>
            <w:r w:rsidRPr="00760EC0">
              <w:t>emergency retraction</w:t>
            </w:r>
          </w:p>
          <w:p w:rsidR="00000000" w:rsidRPr="00760EC0" w:rsidP="00760EC0">
            <w:pPr>
              <w:pStyle w:val="ListBullet"/>
            </w:pPr>
            <w:r w:rsidRPr="00760EC0">
              <w:t xml:space="preserve">evacuation </w:t>
            </w:r>
          </w:p>
          <w:p w:rsidR="00000000" w:rsidP="00760EC0">
            <w:pPr>
              <w:pStyle w:val="ListBullet"/>
              <w:rPr>
                <w:lang w:val="en-NZ"/>
              </w:rPr>
            </w:pPr>
            <w:r w:rsidRPr="00760EC0">
              <w:t>fire procedures</w:t>
            </w:r>
          </w:p>
        </w:tc>
      </w:tr>
      <w:tr w:rsidTr="0054743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Hazardous conditions</w:t>
            </w:r>
            <w:r w:rsidRPr="00760EC0">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Bullet"/>
            </w:pPr>
            <w:r w:rsidRPr="00760EC0">
              <w:t>wet weather</w:t>
            </w:r>
          </w:p>
          <w:p w:rsidR="00000000" w:rsidRPr="00760EC0" w:rsidP="00760EC0">
            <w:pPr>
              <w:pStyle w:val="ListBullet"/>
            </w:pPr>
            <w:r w:rsidRPr="00760EC0">
              <w:t>gas</w:t>
            </w:r>
          </w:p>
          <w:p w:rsidR="00000000" w:rsidRPr="00760EC0" w:rsidP="00760EC0">
            <w:pPr>
              <w:pStyle w:val="ListBullet"/>
            </w:pPr>
            <w:r w:rsidRPr="00760EC0">
              <w:t>fire</w:t>
            </w:r>
          </w:p>
          <w:p w:rsidR="00000000" w:rsidRPr="00760EC0" w:rsidP="00760EC0">
            <w:pPr>
              <w:pStyle w:val="ListBullet"/>
            </w:pPr>
            <w:r w:rsidRPr="00760EC0">
              <w:t>explosions</w:t>
            </w:r>
          </w:p>
          <w:p w:rsidR="00000000" w:rsidRPr="00760EC0" w:rsidP="00760EC0">
            <w:pPr>
              <w:pStyle w:val="ListBullet"/>
            </w:pPr>
            <w:r w:rsidRPr="00760EC0">
              <w:t>highwall collapse</w:t>
            </w:r>
          </w:p>
          <w:p w:rsidR="00000000" w:rsidP="00760EC0">
            <w:pPr>
              <w:pStyle w:val="ListBullet"/>
              <w:rPr>
                <w:lang w:val="en-NZ"/>
              </w:rPr>
            </w:pPr>
            <w:r w:rsidRPr="00760EC0">
              <w:t>falling material</w:t>
            </w:r>
          </w:p>
        </w:tc>
      </w:tr>
      <w:tr w:rsidTr="0054743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Coordination</w:t>
            </w:r>
            <w:r w:rsidRPr="00760EC0">
              <w:t xml:space="preserve"> with others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Bullet"/>
            </w:pPr>
            <w:r w:rsidRPr="00760EC0">
              <w:t xml:space="preserve">the functions of the system operator </w:t>
            </w:r>
          </w:p>
          <w:p w:rsidR="00000000" w:rsidP="00760EC0">
            <w:pPr>
              <w:pStyle w:val="ListBullet"/>
              <w:rPr>
                <w:lang w:val="en-NZ"/>
              </w:rPr>
            </w:pPr>
            <w:r w:rsidRPr="00760EC0">
              <w:t>the loader driver</w:t>
            </w:r>
          </w:p>
        </w:tc>
      </w:tr>
      <w:tr w:rsidTr="0054743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Staging and positioning</w:t>
            </w:r>
            <w:r w:rsidRPr="00760EC0">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Bullet"/>
            </w:pPr>
            <w:r w:rsidRPr="00760EC0">
              <w:t>method of staging</w:t>
            </w:r>
          </w:p>
          <w:p w:rsidR="00000000" w:rsidRPr="00760EC0" w:rsidP="00760EC0">
            <w:pPr>
              <w:pStyle w:val="ListBullet"/>
            </w:pPr>
            <w:r w:rsidRPr="00760EC0">
              <w:t>angle of launch</w:t>
            </w:r>
          </w:p>
          <w:p w:rsidR="00000000" w:rsidRPr="00760EC0" w:rsidP="00760EC0">
            <w:pPr>
              <w:pStyle w:val="ListBullet"/>
            </w:pPr>
            <w:r w:rsidRPr="00760EC0">
              <w:t>impact of weather</w:t>
            </w:r>
          </w:p>
          <w:p w:rsidR="00000000" w:rsidRPr="00760EC0" w:rsidP="00760EC0">
            <w:pPr>
              <w:pStyle w:val="ListBullet"/>
            </w:pPr>
            <w:r w:rsidRPr="00760EC0">
              <w:t>staging devices</w:t>
            </w:r>
          </w:p>
          <w:p w:rsidR="00000000" w:rsidP="00760EC0">
            <w:pPr>
              <w:pStyle w:val="ListBullet"/>
              <w:rPr>
                <w:lang w:val="en-NZ"/>
              </w:rPr>
            </w:pPr>
            <w:r w:rsidRPr="00760EC0">
              <w:t>lanyard systems</w:t>
            </w:r>
          </w:p>
        </w:tc>
      </w:tr>
      <w:tr w:rsidTr="0054743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0">
            <w:pPr>
              <w:pStyle w:val="BodyText"/>
              <w:rPr>
                <w:lang w:val="en-NZ"/>
              </w:rPr>
            </w:pPr>
            <w:r w:rsidRPr="00760EC0">
              <w:rPr>
                <w:rStyle w:val="SpecialBold"/>
              </w:rPr>
              <w:t>Cable connection</w:t>
            </w:r>
            <w:r w:rsidRPr="00760EC0">
              <w:t xml:space="preserve"> procedures are for both electrical and gas monitoring cables and cover:</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0" w:rsidP="00760EC0">
            <w:pPr>
              <w:pStyle w:val="ListBullet"/>
            </w:pPr>
            <w:r w:rsidRPr="00760EC0">
              <w:t>moisture</w:t>
            </w:r>
          </w:p>
          <w:p w:rsidR="00000000" w:rsidRPr="00760EC0" w:rsidP="00760EC0">
            <w:pPr>
              <w:pStyle w:val="ListBullet"/>
            </w:pPr>
            <w:r w:rsidRPr="00760EC0">
              <w:t>water</w:t>
            </w:r>
          </w:p>
          <w:p w:rsidR="00000000" w:rsidRPr="00760EC0" w:rsidP="00760EC0">
            <w:pPr>
              <w:pStyle w:val="ListBullet"/>
            </w:pPr>
            <w:r w:rsidRPr="00760EC0">
              <w:t>damage</w:t>
            </w:r>
          </w:p>
          <w:p w:rsidR="00000000" w:rsidRPr="00760EC0" w:rsidP="00760EC0">
            <w:pPr>
              <w:pStyle w:val="ListBullet"/>
            </w:pPr>
            <w:r w:rsidRPr="00760EC0">
              <w:t>dirt</w:t>
            </w:r>
          </w:p>
          <w:p w:rsidR="00000000" w:rsidRPr="00760EC0" w:rsidP="00760EC0">
            <w:pPr>
              <w:pStyle w:val="ListBullet"/>
            </w:pPr>
            <w:r w:rsidRPr="00760EC0">
              <w:t>coal</w:t>
            </w:r>
          </w:p>
          <w:p w:rsidR="00000000" w:rsidRPr="00760EC0" w:rsidP="00760EC0">
            <w:pPr>
              <w:pStyle w:val="ListBullet"/>
            </w:pPr>
            <w:r w:rsidRPr="00760EC0">
              <w:t>grease</w:t>
            </w:r>
          </w:p>
        </w:tc>
      </w:tr>
    </w:tbl>
    <w:p w:rsidR="00000000" w:rsidRPr="00760EC0" w:rsidP="00760EC0">
      <w:pPr>
        <w:pStyle w:val="BodyText"/>
      </w:pPr>
    </w:p>
    <w:p w:rsidR="00000000" w:rsidRPr="00760EC0" w:rsidP="00760EC0">
      <w:pPr>
        <w:pStyle w:val="AllowPageBreak"/>
      </w:pPr>
    </w:p>
    <w:p w:rsidR="00000000" w:rsidRPr="00760EC0" w:rsidP="00760EC0">
      <w:pPr>
        <w:pStyle w:val="Heading1"/>
      </w:pPr>
      <w:bookmarkStart w:id="12" w:name="O_132986"/>
      <w:bookmarkEnd w:id="12"/>
      <w:r w:rsidRPr="00760EC0">
        <w:t>Unit Sector(s)</w:t>
      </w:r>
    </w:p>
    <w:p w:rsidR="00000000" w:rsidRPr="00760EC0" w:rsidP="00760EC0">
      <w:pPr>
        <w:pStyle w:val="BodyText"/>
      </w:pPr>
      <w:r w:rsidRPr="00760EC0">
        <w:t>Plant and Equipment Operation</w:t>
      </w:r>
    </w:p>
    <w:p w:rsidR="00000000" w:rsidRPr="00760EC0" w:rsidP="00760EC0">
      <w:pPr>
        <w:pStyle w:val="AllowPageBreak"/>
      </w:pPr>
    </w:p>
    <w:p w:rsidR="00000000" w:rsidRPr="00760EC0" w:rsidP="00760EC0">
      <w:pPr>
        <w:pStyle w:val="Heading1"/>
      </w:pPr>
      <w:bookmarkStart w:id="13" w:name="O_161951"/>
      <w:bookmarkEnd w:id="13"/>
      <w:r w:rsidRPr="00760EC0">
        <w:t>Competency field</w:t>
      </w:r>
    </w:p>
    <w:p w:rsidR="00000000" w:rsidRPr="00760EC0" w:rsidP="00760EC0">
      <w:pPr>
        <w:pStyle w:val="BodyText"/>
      </w:pPr>
      <w:r w:rsidRPr="00760EC0">
        <w:t>Refer to Unit Sector(s).</w:t>
      </w:r>
    </w:p>
    <w:p w:rsidR="00000000" w:rsidRPr="00760EC0" w:rsidP="00760EC0">
      <w:pPr>
        <w:pStyle w:val="AllowPageBreak"/>
      </w:pPr>
    </w:p>
    <w:p w:rsidR="00000000" w:rsidRPr="00760EC0" w:rsidP="00760EC0">
      <w:pPr>
        <w:pStyle w:val="Heading1"/>
      </w:pPr>
      <w:bookmarkStart w:id="14" w:name="O_161950"/>
      <w:bookmarkEnd w:id="14"/>
      <w:r w:rsidRPr="00760EC0">
        <w:t>Co-requisite units</w:t>
      </w:r>
    </w:p>
    <w:p w:rsidR="00000000" w:rsidRPr="00760EC0" w:rsidP="00760EC0">
      <w:pPr>
        <w:pStyle w:val="BodyText"/>
      </w:pPr>
      <w:r w:rsidRPr="00760EC0">
        <w:t>Not applicable.</w:t>
      </w:r>
    </w:p>
    <w:p w:rsidR="00000000" w:rsidRPr="00760EC0" w:rsidP="00760EC0"/>
    <w:sectPr w:rsidSect="00760E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7432" w:rsidP="005474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432" w:rsidP="00760E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7432" w:rsidP="00760E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47432" w:rsidP="00760E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Pr="00547432" w:rsidP="005474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432" w:rsidRPr="002D2AF8" w:rsidP="00760EC0">
    <w:pPr>
      <w:pStyle w:val="Header"/>
      <w:framePr w:wrap="around"/>
    </w:pPr>
    <w:r>
      <w:fldChar w:fldCharType="begin"/>
    </w:r>
    <w:r>
      <w:instrText xml:space="preserve"> TITLE   \* MERGEFORMAT </w:instrText>
    </w:r>
    <w:r>
      <w:fldChar w:fldCharType="separate"/>
    </w:r>
    <w:r>
      <w:t>RIIPEO202A Provide deck support for conveyor-car high wall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47432" w:rsidP="00760E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CAB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86F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1214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E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EC0"/>
    <w:pPr>
      <w:spacing w:before="360" w:after="60"/>
      <w:outlineLvl w:val="0"/>
    </w:pPr>
    <w:rPr>
      <w:sz w:val="32"/>
    </w:rPr>
  </w:style>
  <w:style w:type="paragraph" w:styleId="Heading2">
    <w:name w:val="heading 2"/>
    <w:basedOn w:val="HeadingBase"/>
    <w:next w:val="BodyText"/>
    <w:link w:val="Heading2Char"/>
    <w:qFormat/>
    <w:rsid w:val="00760EC0"/>
    <w:pPr>
      <w:keepLines/>
      <w:spacing w:before="240" w:after="120"/>
      <w:outlineLvl w:val="1"/>
    </w:pPr>
    <w:rPr>
      <w:sz w:val="28"/>
      <w:szCs w:val="40"/>
    </w:rPr>
  </w:style>
  <w:style w:type="paragraph" w:styleId="Heading3">
    <w:name w:val="heading 3"/>
    <w:basedOn w:val="HeadingBase"/>
    <w:next w:val="BodyText"/>
    <w:link w:val="Heading3Char"/>
    <w:qFormat/>
    <w:rsid w:val="00760EC0"/>
    <w:pPr>
      <w:spacing w:before="180" w:after="120"/>
      <w:outlineLvl w:val="2"/>
    </w:pPr>
    <w:rPr>
      <w:spacing w:val="-10"/>
      <w:kern w:val="32"/>
    </w:rPr>
  </w:style>
  <w:style w:type="paragraph" w:styleId="Heading4">
    <w:name w:val="heading 4"/>
    <w:basedOn w:val="HeadingBase"/>
    <w:next w:val="BodyText"/>
    <w:link w:val="Heading4Char"/>
    <w:qFormat/>
    <w:rsid w:val="00760EC0"/>
    <w:pPr>
      <w:spacing w:before="160" w:after="120"/>
      <w:outlineLvl w:val="3"/>
    </w:pPr>
    <w:rPr>
      <w:sz w:val="22"/>
    </w:rPr>
  </w:style>
  <w:style w:type="paragraph" w:styleId="Heading5">
    <w:name w:val="heading 5"/>
    <w:basedOn w:val="HeadingBase"/>
    <w:next w:val="Normal"/>
    <w:link w:val="Heading5Char"/>
    <w:qFormat/>
    <w:rsid w:val="00760EC0"/>
    <w:pPr>
      <w:spacing w:before="80"/>
      <w:outlineLvl w:val="4"/>
    </w:pPr>
    <w:rPr>
      <w:color w:val="918585"/>
      <w:sz w:val="20"/>
    </w:rPr>
  </w:style>
  <w:style w:type="paragraph" w:styleId="Heading6">
    <w:name w:val="heading 6"/>
    <w:basedOn w:val="HeadingBase"/>
    <w:next w:val="Normal"/>
    <w:link w:val="Heading6Char"/>
    <w:qFormat/>
    <w:rsid w:val="00760EC0"/>
    <w:pPr>
      <w:spacing w:before="60"/>
      <w:outlineLvl w:val="5"/>
    </w:pPr>
    <w:rPr>
      <w:color w:val="918585"/>
      <w:sz w:val="20"/>
    </w:rPr>
  </w:style>
  <w:style w:type="paragraph" w:styleId="Heading7">
    <w:name w:val="heading 7"/>
    <w:basedOn w:val="Normal"/>
    <w:next w:val="Normal"/>
    <w:link w:val="Heading7Char"/>
    <w:qFormat/>
    <w:rsid w:val="00760EC0"/>
    <w:pPr>
      <w:ind w:left="720"/>
      <w:outlineLvl w:val="6"/>
    </w:pPr>
    <w:rPr>
      <w:i/>
    </w:rPr>
  </w:style>
  <w:style w:type="paragraph" w:styleId="Heading8">
    <w:name w:val="heading 8"/>
    <w:basedOn w:val="Normal"/>
    <w:next w:val="Normal"/>
    <w:link w:val="Heading8Char"/>
    <w:qFormat/>
    <w:rsid w:val="00760EC0"/>
    <w:pPr>
      <w:ind w:left="720"/>
      <w:outlineLvl w:val="7"/>
    </w:pPr>
    <w:rPr>
      <w:i/>
    </w:rPr>
  </w:style>
  <w:style w:type="paragraph" w:styleId="Heading9">
    <w:name w:val="heading 9"/>
    <w:basedOn w:val="Normal"/>
    <w:next w:val="Normal"/>
    <w:link w:val="Heading9Char"/>
    <w:qFormat/>
    <w:rsid w:val="00760EC0"/>
    <w:pPr>
      <w:ind w:left="720"/>
      <w:outlineLvl w:val="8"/>
    </w:pPr>
    <w:rPr>
      <w:i/>
    </w:rPr>
  </w:style>
  <w:style w:type="character" w:default="1" w:styleId="DefaultParagraphFont">
    <w:name w:val="Default Paragraph Font"/>
    <w:uiPriority w:val="1"/>
    <w:unhideWhenUsed/>
    <w:rsid w:val="00760E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EC0"/>
  </w:style>
  <w:style w:type="character" w:customStyle="1" w:styleId="Heading1Char">
    <w:name w:val="Heading 1 Char"/>
    <w:basedOn w:val="DefaultParagraphFont"/>
    <w:link w:val="Heading1"/>
    <w:rsid w:val="00760EC0"/>
    <w:rPr>
      <w:rFonts w:ascii="Times New Roman" w:eastAsia="Times New Roman" w:hAnsi="Times New Roman" w:cs="Times New Roman"/>
      <w:b/>
      <w:sz w:val="32"/>
      <w:szCs w:val="20"/>
      <w:lang w:eastAsia="en-US"/>
    </w:rPr>
  </w:style>
  <w:style w:type="paragraph" w:styleId="BodyText">
    <w:name w:val="Body Text"/>
    <w:basedOn w:val="Normal"/>
    <w:link w:val="BodyTextChar"/>
    <w:rsid w:val="00760E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0EC0"/>
    <w:rPr>
      <w:rFonts w:ascii="Times New Roman" w:eastAsia="Times New Roman" w:hAnsi="Times New Roman" w:cs="Times New Roman"/>
      <w:sz w:val="24"/>
      <w:lang w:eastAsia="en-US"/>
    </w:rPr>
  </w:style>
  <w:style w:type="paragraph" w:styleId="Footer">
    <w:name w:val="footer"/>
    <w:basedOn w:val="Normal"/>
    <w:link w:val="FooterChar"/>
    <w:rsid w:val="00760E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EC0"/>
    <w:rPr>
      <w:rFonts w:ascii="Times New Roman" w:eastAsia="Times New Roman" w:hAnsi="Times New Roman" w:cs="Times New Roman"/>
      <w:sz w:val="16"/>
      <w:lang w:eastAsia="en-US"/>
    </w:rPr>
  </w:style>
  <w:style w:type="paragraph" w:styleId="List">
    <w:name w:val="List"/>
    <w:basedOn w:val="BodyText"/>
    <w:next w:val="BodyText"/>
    <w:rsid w:val="00760EC0"/>
    <w:pPr>
      <w:tabs>
        <w:tab w:val="left" w:pos="340"/>
      </w:tabs>
      <w:spacing w:before="60" w:after="60"/>
      <w:ind w:left="340" w:hanging="340"/>
    </w:pPr>
  </w:style>
  <w:style w:type="paragraph" w:styleId="ListBullet">
    <w:name w:val="List Bullet"/>
    <w:basedOn w:val="List"/>
    <w:rsid w:val="00760EC0"/>
    <w:pPr>
      <w:numPr>
        <w:numId w:val="13"/>
      </w:numPr>
      <w:tabs>
        <w:tab w:val="clear" w:pos="340"/>
      </w:tabs>
      <w:spacing w:before="40" w:after="40"/>
    </w:pPr>
  </w:style>
  <w:style w:type="character" w:customStyle="1" w:styleId="SpecialBold">
    <w:name w:val="Special Bold"/>
    <w:basedOn w:val="DefaultParagraphFont"/>
    <w:rsid w:val="00760EC0"/>
    <w:rPr>
      <w:b/>
      <w:spacing w:val="0"/>
    </w:rPr>
  </w:style>
  <w:style w:type="paragraph" w:styleId="ListBullet2">
    <w:name w:val="List Bullet 2"/>
    <w:basedOn w:val="List2"/>
    <w:rsid w:val="00760EC0"/>
    <w:pPr>
      <w:numPr>
        <w:numId w:val="14"/>
      </w:numPr>
      <w:tabs>
        <w:tab w:val="clear" w:pos="680"/>
      </w:tabs>
    </w:pPr>
  </w:style>
  <w:style w:type="paragraph" w:customStyle="1" w:styleId="SuperHeading">
    <w:name w:val="SuperHeading"/>
    <w:basedOn w:val="Normal"/>
    <w:rsid w:val="00760EC0"/>
    <w:pPr>
      <w:spacing w:before="240" w:after="120"/>
      <w:outlineLvl w:val="0"/>
    </w:pPr>
    <w:rPr>
      <w:rFonts w:ascii="Times New Roman" w:hAnsi="Times New Roman"/>
      <w:b/>
      <w:sz w:val="28"/>
    </w:rPr>
  </w:style>
  <w:style w:type="paragraph" w:customStyle="1" w:styleId="AllowPageBreak">
    <w:name w:val="AllowPageBreak"/>
    <w:rsid w:val="00760E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0EC0"/>
    <w:pPr>
      <w:tabs>
        <w:tab w:val="left" w:pos="680"/>
      </w:tabs>
      <w:spacing w:before="60" w:after="60"/>
      <w:ind w:left="680" w:hanging="340"/>
    </w:pPr>
  </w:style>
  <w:style w:type="character" w:customStyle="1" w:styleId="BoldandItalics">
    <w:name w:val="Bold and Italics"/>
    <w:qFormat/>
    <w:rsid w:val="00760EC0"/>
    <w:rPr>
      <w:b/>
      <w:i/>
      <w:u w:val="none"/>
    </w:rPr>
  </w:style>
  <w:style w:type="character" w:customStyle="1" w:styleId="Heading2Char">
    <w:name w:val="Heading 2 Char"/>
    <w:basedOn w:val="DefaultParagraphFont"/>
    <w:link w:val="Heading2"/>
    <w:rsid w:val="00760E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E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E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E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E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E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E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EC0"/>
    <w:rPr>
      <w:rFonts w:ascii="Courier New" w:eastAsia="Times New Roman" w:hAnsi="Courier New" w:cs="Times New Roman"/>
      <w:i/>
      <w:szCs w:val="20"/>
      <w:lang w:eastAsia="en-US"/>
    </w:rPr>
  </w:style>
  <w:style w:type="paragraph" w:customStyle="1" w:styleId="HeadingBase">
    <w:name w:val="Heading Base"/>
    <w:rsid w:val="00760E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EC0"/>
    <w:pPr>
      <w:tabs>
        <w:tab w:val="right" w:leader="dot" w:pos="9072"/>
      </w:tabs>
      <w:ind w:left="567"/>
    </w:pPr>
    <w:rPr>
      <w:szCs w:val="22"/>
    </w:rPr>
  </w:style>
  <w:style w:type="paragraph" w:customStyle="1" w:styleId="TOCBase">
    <w:name w:val="TOC Base"/>
    <w:rsid w:val="00760E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EC0"/>
    <w:pPr>
      <w:tabs>
        <w:tab w:val="right" w:leader="dot" w:pos="9072"/>
      </w:tabs>
      <w:spacing w:before="40" w:after="40"/>
      <w:ind w:left="284"/>
    </w:pPr>
    <w:rPr>
      <w:rFonts w:ascii="Times New Roman" w:hAnsi="Times New Roman"/>
    </w:rPr>
  </w:style>
  <w:style w:type="paragraph" w:styleId="TOC1">
    <w:name w:val="toc 1"/>
    <w:basedOn w:val="TOCBase"/>
    <w:next w:val="Normal"/>
    <w:rsid w:val="00760E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0EC0"/>
    <w:pPr>
      <w:spacing w:before="5040"/>
      <w:jc w:val="center"/>
    </w:pPr>
    <w:rPr>
      <w:sz w:val="48"/>
      <w:szCs w:val="72"/>
      <w:lang w:val="en-US"/>
    </w:rPr>
  </w:style>
  <w:style w:type="character" w:customStyle="1" w:styleId="TitleChar">
    <w:name w:val="Title Char"/>
    <w:basedOn w:val="DefaultParagraphFont"/>
    <w:link w:val="Title"/>
    <w:rsid w:val="00760E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EC0"/>
    <w:pPr>
      <w:tabs>
        <w:tab w:val="left" w:pos="3600"/>
        <w:tab w:val="left" w:pos="3958"/>
      </w:tabs>
    </w:pPr>
  </w:style>
  <w:style w:type="paragraph" w:customStyle="1" w:styleId="Note">
    <w:name w:val="Note"/>
    <w:basedOn w:val="BodyText"/>
    <w:rsid w:val="00760E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EC0"/>
    <w:pPr>
      <w:framePr w:wrap="auto" w:hAnchor="text" w:y="6049"/>
    </w:pPr>
    <w:rPr>
      <w:color w:val="000000"/>
      <w:sz w:val="40"/>
    </w:rPr>
  </w:style>
  <w:style w:type="paragraph" w:customStyle="1" w:styleId="TOCTitle">
    <w:name w:val="TOCTitle"/>
    <w:basedOn w:val="Heading1"/>
    <w:rsid w:val="00760EC0"/>
    <w:pPr>
      <w:spacing w:after="240"/>
      <w:jc w:val="center"/>
      <w:outlineLvl w:val="9"/>
    </w:pPr>
    <w:rPr>
      <w:caps/>
    </w:rPr>
  </w:style>
  <w:style w:type="paragraph" w:customStyle="1" w:styleId="Version">
    <w:name w:val="Version"/>
    <w:rsid w:val="00760E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0EC0"/>
    <w:pPr>
      <w:keepNext w:val="0"/>
      <w:tabs>
        <w:tab w:val="right" w:pos="4176"/>
      </w:tabs>
      <w:ind w:left="198" w:hanging="198"/>
    </w:pPr>
    <w:rPr>
      <w:rFonts w:ascii="Garamond" w:hAnsi="Garamond"/>
    </w:rPr>
  </w:style>
  <w:style w:type="paragraph" w:styleId="IndexHeading">
    <w:name w:val="index heading"/>
    <w:basedOn w:val="Normal"/>
    <w:next w:val="Index1"/>
    <w:semiHidden/>
    <w:rsid w:val="00760EC0"/>
    <w:pPr>
      <w:spacing w:before="120" w:after="120"/>
    </w:pPr>
    <w:rPr>
      <w:rFonts w:ascii="Arial" w:hAnsi="Arial"/>
      <w:b/>
      <w:color w:val="918585"/>
      <w:sz w:val="24"/>
    </w:rPr>
  </w:style>
  <w:style w:type="paragraph" w:styleId="Header">
    <w:name w:val="header"/>
    <w:basedOn w:val="Normal"/>
    <w:link w:val="HeaderChar"/>
    <w:rsid w:val="00760E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EC0"/>
    <w:rPr>
      <w:rFonts w:ascii="Times New Roman" w:eastAsia="Times New Roman" w:hAnsi="Times New Roman" w:cs="Times New Roman"/>
      <w:sz w:val="16"/>
      <w:szCs w:val="20"/>
      <w:lang w:val="en-GB" w:eastAsia="en-US"/>
    </w:rPr>
  </w:style>
  <w:style w:type="paragraph" w:customStyle="1" w:styleId="Chapter">
    <w:name w:val="Chapter"/>
    <w:basedOn w:val="Normal"/>
    <w:rsid w:val="00760EC0"/>
    <w:pPr>
      <w:spacing w:before="240"/>
    </w:pPr>
    <w:rPr>
      <w:rFonts w:ascii="Times New Roman" w:hAnsi="Times New Roman"/>
      <w:smallCaps/>
      <w:spacing w:val="80"/>
      <w:sz w:val="28"/>
    </w:rPr>
  </w:style>
  <w:style w:type="paragraph" w:customStyle="1" w:styleId="InChapter">
    <w:name w:val="InChapter"/>
    <w:basedOn w:val="Heading3"/>
    <w:rsid w:val="00760EC0"/>
    <w:pPr>
      <w:spacing w:after="240"/>
      <w:outlineLvl w:val="9"/>
    </w:pPr>
    <w:rPr>
      <w:noProof/>
    </w:rPr>
  </w:style>
  <w:style w:type="paragraph" w:styleId="Index2">
    <w:name w:val="index 2"/>
    <w:basedOn w:val="Normal"/>
    <w:next w:val="Normal"/>
    <w:semiHidden/>
    <w:rsid w:val="00760EC0"/>
    <w:pPr>
      <w:tabs>
        <w:tab w:val="right" w:pos="4176"/>
      </w:tabs>
      <w:ind w:left="568" w:hanging="284"/>
    </w:pPr>
    <w:rPr>
      <w:rFonts w:ascii="Garamond" w:hAnsi="Garamond"/>
    </w:rPr>
  </w:style>
  <w:style w:type="paragraph" w:customStyle="1" w:styleId="Byline">
    <w:name w:val="Byline"/>
    <w:rsid w:val="00760E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EC0"/>
    <w:pPr>
      <w:tabs>
        <w:tab w:val="clear" w:pos="3600"/>
        <w:tab w:val="clear" w:pos="3958"/>
      </w:tabs>
      <w:jc w:val="right"/>
    </w:pPr>
  </w:style>
  <w:style w:type="character" w:styleId="Emphasis">
    <w:name w:val="Emphasis"/>
    <w:basedOn w:val="DefaultParagraphFont"/>
    <w:qFormat/>
    <w:rsid w:val="00760EC0"/>
    <w:rPr>
      <w:i/>
    </w:rPr>
  </w:style>
  <w:style w:type="paragraph" w:styleId="Caption">
    <w:name w:val="caption"/>
    <w:basedOn w:val="BodyText"/>
    <w:next w:val="Normal"/>
    <w:qFormat/>
    <w:rsid w:val="00760EC0"/>
    <w:pPr>
      <w:framePr w:w="2268" w:hSpace="181" w:vSpace="181" w:wrap="around" w:vAnchor="text" w:hAnchor="page" w:x="1135" w:y="285" w:anchorLock="1"/>
    </w:pPr>
    <w:rPr>
      <w:i/>
    </w:rPr>
  </w:style>
  <w:style w:type="paragraph" w:customStyle="1" w:styleId="MiniTOCTitle">
    <w:name w:val="MiniTOCTitle"/>
    <w:basedOn w:val="Heading4"/>
    <w:rsid w:val="00760EC0"/>
    <w:pPr>
      <w:spacing w:before="240"/>
      <w:outlineLvl w:val="9"/>
    </w:pPr>
    <w:rPr>
      <w:noProof/>
      <w:sz w:val="24"/>
    </w:rPr>
  </w:style>
  <w:style w:type="paragraph" w:customStyle="1" w:styleId="MiniTOCItem">
    <w:name w:val="MiniTOCItem"/>
    <w:basedOn w:val="ListBullet"/>
    <w:rsid w:val="00760EC0"/>
    <w:pPr>
      <w:numPr>
        <w:numId w:val="0"/>
      </w:numPr>
      <w:tabs>
        <w:tab w:val="right" w:leader="dot" w:pos="6521"/>
      </w:tabs>
      <w:spacing w:before="0" w:after="0"/>
    </w:pPr>
  </w:style>
  <w:style w:type="paragraph" w:customStyle="1" w:styleId="TOFTitle">
    <w:name w:val="TOFTitle"/>
    <w:basedOn w:val="TOCTitle"/>
    <w:rsid w:val="00760EC0"/>
  </w:style>
  <w:style w:type="paragraph" w:styleId="TableofFigures">
    <w:name w:val="table of figures"/>
    <w:basedOn w:val="Normal"/>
    <w:next w:val="Normal"/>
    <w:semiHidden/>
    <w:rsid w:val="00760EC0"/>
    <w:pPr>
      <w:tabs>
        <w:tab w:val="right" w:leader="dot" w:pos="9072"/>
      </w:tabs>
      <w:ind w:left="970" w:hanging="403"/>
    </w:pPr>
    <w:rPr>
      <w:rFonts w:ascii="Times New Roman" w:hAnsi="Times New Roman"/>
      <w:b/>
    </w:rPr>
  </w:style>
  <w:style w:type="paragraph" w:styleId="ListNumber">
    <w:name w:val="List Number"/>
    <w:basedOn w:val="List"/>
    <w:rsid w:val="00760EC0"/>
    <w:pPr>
      <w:numPr>
        <w:numId w:val="11"/>
      </w:numPr>
    </w:pPr>
  </w:style>
  <w:style w:type="character" w:customStyle="1" w:styleId="WingdingSymbols">
    <w:name w:val="Wingding Symbols"/>
    <w:rsid w:val="00760EC0"/>
    <w:rPr>
      <w:rFonts w:ascii="Wingdings" w:hAnsi="Wingdings"/>
    </w:rPr>
  </w:style>
  <w:style w:type="paragraph" w:customStyle="1" w:styleId="TableHeading">
    <w:name w:val="Table Heading"/>
    <w:basedOn w:val="HeadingBase"/>
    <w:rsid w:val="00760EC0"/>
    <w:pPr>
      <w:keepLines/>
      <w:pBdr>
        <w:bottom w:val="single" w:sz="6" w:space="1" w:color="918585"/>
      </w:pBdr>
      <w:spacing w:before="240"/>
    </w:pPr>
  </w:style>
  <w:style w:type="character" w:customStyle="1" w:styleId="HotSpot">
    <w:name w:val="HotSpot"/>
    <w:rsid w:val="00760EC0"/>
    <w:rPr>
      <w:color w:val="0033CC"/>
      <w:u w:val="none"/>
    </w:rPr>
  </w:style>
  <w:style w:type="paragraph" w:customStyle="1" w:styleId="BodyTextRight">
    <w:name w:val="Body Text Right"/>
    <w:basedOn w:val="BodyText"/>
    <w:rsid w:val="00760EC0"/>
    <w:pPr>
      <w:spacing w:before="0" w:after="0"/>
      <w:jc w:val="right"/>
    </w:pPr>
  </w:style>
  <w:style w:type="paragraph" w:styleId="Index3">
    <w:name w:val="index 3"/>
    <w:basedOn w:val="ListNumber2"/>
    <w:next w:val="Normal"/>
    <w:semiHidden/>
    <w:rsid w:val="00760EC0"/>
    <w:pPr>
      <w:numPr>
        <w:numId w:val="0"/>
      </w:numPr>
      <w:tabs>
        <w:tab w:val="right" w:leader="dot" w:pos="4176"/>
      </w:tabs>
    </w:pPr>
  </w:style>
  <w:style w:type="paragraph" w:styleId="ListNumber2">
    <w:name w:val="List Number 2"/>
    <w:basedOn w:val="List2"/>
    <w:rsid w:val="00760EC0"/>
    <w:pPr>
      <w:numPr>
        <w:numId w:val="10"/>
      </w:numPr>
      <w:tabs>
        <w:tab w:val="clear" w:pos="1060"/>
      </w:tabs>
    </w:pPr>
  </w:style>
  <w:style w:type="paragraph" w:customStyle="1" w:styleId="MarginNote">
    <w:name w:val="Margin Note"/>
    <w:basedOn w:val="BodyText"/>
    <w:rsid w:val="00760E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E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E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EC0"/>
    <w:rPr>
      <w:sz w:val="32"/>
    </w:rPr>
  </w:style>
  <w:style w:type="paragraph" w:customStyle="1" w:styleId="HeadingProcedure">
    <w:name w:val="Heading Procedure"/>
    <w:basedOn w:val="HeadingBase"/>
    <w:next w:val="Normal"/>
    <w:rsid w:val="00760EC0"/>
    <w:pPr>
      <w:tabs>
        <w:tab w:val="left" w:pos="0"/>
      </w:tabs>
      <w:spacing w:before="120" w:after="60"/>
    </w:pPr>
    <w:rPr>
      <w:i/>
      <w:color w:val="918585"/>
      <w:sz w:val="22"/>
    </w:rPr>
  </w:style>
  <w:style w:type="paragraph" w:customStyle="1" w:styleId="TableBodyText">
    <w:name w:val="Table Body Text"/>
    <w:basedOn w:val="BodyText"/>
    <w:rsid w:val="00760EC0"/>
    <w:pPr>
      <w:spacing w:before="60" w:after="60"/>
    </w:pPr>
  </w:style>
  <w:style w:type="paragraph" w:styleId="ListContinue">
    <w:name w:val="List Continue"/>
    <w:basedOn w:val="List"/>
    <w:rsid w:val="00760EC0"/>
    <w:pPr>
      <w:ind w:firstLine="0"/>
    </w:pPr>
  </w:style>
  <w:style w:type="paragraph" w:customStyle="1" w:styleId="ListNote">
    <w:name w:val="List Note"/>
    <w:basedOn w:val="List"/>
    <w:rsid w:val="00760EC0"/>
    <w:pPr>
      <w:pBdr>
        <w:top w:val="single" w:sz="6" w:space="2" w:color="918585"/>
        <w:bottom w:val="single" w:sz="6" w:space="2" w:color="918585"/>
      </w:pBdr>
      <w:tabs>
        <w:tab w:val="left" w:pos="1021"/>
      </w:tabs>
      <w:ind w:firstLine="0"/>
    </w:pPr>
  </w:style>
  <w:style w:type="paragraph" w:customStyle="1" w:styleId="Warning">
    <w:name w:val="Warning"/>
    <w:basedOn w:val="BodyText"/>
    <w:rsid w:val="00760EC0"/>
    <w:pPr>
      <w:shd w:val="clear" w:color="auto" w:fill="D9D9D9"/>
      <w:tabs>
        <w:tab w:val="left" w:pos="992"/>
      </w:tabs>
      <w:ind w:left="119" w:right="119"/>
    </w:pPr>
    <w:rPr>
      <w:sz w:val="20"/>
    </w:rPr>
  </w:style>
  <w:style w:type="paragraph" w:customStyle="1" w:styleId="MarginIcons">
    <w:name w:val="Margin Icons"/>
    <w:basedOn w:val="BodyText"/>
    <w:rsid w:val="00760E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EC0"/>
    <w:rPr>
      <w:rFonts w:ascii="Courier New" w:hAnsi="Courier New"/>
    </w:rPr>
  </w:style>
  <w:style w:type="paragraph" w:customStyle="1" w:styleId="NoteBullet">
    <w:name w:val="Note Bullet"/>
    <w:basedOn w:val="Note"/>
    <w:rsid w:val="00760EC0"/>
    <w:pPr>
      <w:tabs>
        <w:tab w:val="clear" w:pos="680"/>
      </w:tabs>
      <w:spacing w:before="60" w:after="60"/>
    </w:pPr>
  </w:style>
  <w:style w:type="paragraph" w:customStyle="1" w:styleId="SubHeading2">
    <w:name w:val="SubHeading2"/>
    <w:basedOn w:val="HeadingBase"/>
    <w:rsid w:val="00760EC0"/>
    <w:pPr>
      <w:spacing w:before="240" w:after="60"/>
    </w:pPr>
    <w:rPr>
      <w:sz w:val="20"/>
    </w:rPr>
  </w:style>
  <w:style w:type="paragraph" w:customStyle="1" w:styleId="SubHeading1">
    <w:name w:val="SubHeading1"/>
    <w:basedOn w:val="HeadingBase"/>
    <w:rsid w:val="00760EC0"/>
    <w:pPr>
      <w:spacing w:before="240" w:after="60"/>
    </w:pPr>
    <w:rPr>
      <w:color w:val="918585"/>
      <w:sz w:val="22"/>
    </w:rPr>
  </w:style>
  <w:style w:type="paragraph" w:customStyle="1" w:styleId="SideHeading">
    <w:name w:val="Side Heading"/>
    <w:basedOn w:val="HeadingBase"/>
    <w:rsid w:val="00760E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EC0"/>
    <w:pPr>
      <w:numPr>
        <w:numId w:val="12"/>
      </w:numPr>
    </w:pPr>
  </w:style>
  <w:style w:type="paragraph" w:styleId="PlainText">
    <w:name w:val="Plain Text"/>
    <w:basedOn w:val="Normal"/>
    <w:link w:val="PlainTextChar"/>
    <w:rsid w:val="00760EC0"/>
    <w:rPr>
      <w:sz w:val="20"/>
    </w:rPr>
  </w:style>
  <w:style w:type="character" w:customStyle="1" w:styleId="PlainTextChar">
    <w:name w:val="Plain Text Char"/>
    <w:basedOn w:val="DefaultParagraphFont"/>
    <w:link w:val="PlainText"/>
    <w:rsid w:val="00760EC0"/>
    <w:rPr>
      <w:rFonts w:ascii="Courier New" w:eastAsia="Times New Roman" w:hAnsi="Courier New" w:cs="Times New Roman"/>
      <w:sz w:val="20"/>
      <w:szCs w:val="20"/>
      <w:lang w:eastAsia="en-US"/>
    </w:rPr>
  </w:style>
  <w:style w:type="character" w:customStyle="1" w:styleId="MenuOption">
    <w:name w:val="Menu Option"/>
    <w:basedOn w:val="DefaultParagraphFont"/>
    <w:rsid w:val="00760EC0"/>
    <w:rPr>
      <w:b/>
      <w:smallCaps/>
    </w:rPr>
  </w:style>
  <w:style w:type="paragraph" w:customStyle="1" w:styleId="TableListNumber">
    <w:name w:val="Table List Number"/>
    <w:basedOn w:val="ListNumber"/>
    <w:rsid w:val="00760EC0"/>
    <w:pPr>
      <w:numPr>
        <w:numId w:val="0"/>
      </w:numPr>
    </w:pPr>
  </w:style>
  <w:style w:type="paragraph" w:styleId="TOC4">
    <w:name w:val="toc 4"/>
    <w:basedOn w:val="TOCBase"/>
    <w:next w:val="Normal"/>
    <w:semiHidden/>
    <w:rsid w:val="00760EC0"/>
    <w:pPr>
      <w:tabs>
        <w:tab w:val="right" w:leader="dot" w:pos="9071"/>
      </w:tabs>
      <w:ind w:left="1701"/>
    </w:pPr>
  </w:style>
  <w:style w:type="paragraph" w:customStyle="1" w:styleId="ListAlpha">
    <w:name w:val="List Alpha"/>
    <w:basedOn w:val="List"/>
    <w:rsid w:val="00760EC0"/>
    <w:pPr>
      <w:numPr>
        <w:numId w:val="9"/>
      </w:numPr>
    </w:pPr>
  </w:style>
  <w:style w:type="paragraph" w:customStyle="1" w:styleId="ListAlpha2">
    <w:name w:val="List Alpha 2"/>
    <w:basedOn w:val="List2"/>
    <w:rsid w:val="00760EC0"/>
    <w:pPr>
      <w:numPr>
        <w:numId w:val="8"/>
      </w:numPr>
    </w:pPr>
  </w:style>
  <w:style w:type="paragraph" w:styleId="List3">
    <w:name w:val="List 3"/>
    <w:basedOn w:val="BodyText"/>
    <w:rsid w:val="00760EC0"/>
    <w:pPr>
      <w:tabs>
        <w:tab w:val="left" w:pos="1021"/>
      </w:tabs>
      <w:spacing w:before="60" w:after="60"/>
      <w:ind w:left="1020" w:hanging="340"/>
    </w:pPr>
  </w:style>
  <w:style w:type="paragraph" w:styleId="List4">
    <w:name w:val="List 4"/>
    <w:basedOn w:val="BodyText"/>
    <w:rsid w:val="00760EC0"/>
    <w:pPr>
      <w:tabs>
        <w:tab w:val="left" w:pos="1361"/>
      </w:tabs>
      <w:spacing w:before="60" w:after="60"/>
      <w:ind w:left="1361" w:hanging="340"/>
    </w:pPr>
  </w:style>
  <w:style w:type="paragraph" w:styleId="List5">
    <w:name w:val="List 5"/>
    <w:basedOn w:val="BodyText"/>
    <w:rsid w:val="00760EC0"/>
    <w:pPr>
      <w:tabs>
        <w:tab w:val="left" w:pos="1701"/>
      </w:tabs>
      <w:spacing w:before="60" w:after="60"/>
      <w:ind w:left="1701" w:hanging="340"/>
    </w:pPr>
  </w:style>
  <w:style w:type="paragraph" w:styleId="ListBullet3">
    <w:name w:val="List Bullet 3"/>
    <w:basedOn w:val="List3"/>
    <w:rsid w:val="00760EC0"/>
    <w:pPr>
      <w:numPr>
        <w:numId w:val="15"/>
      </w:numPr>
      <w:tabs>
        <w:tab w:val="clear" w:pos="1021"/>
      </w:tabs>
      <w:ind w:left="1037" w:hanging="357"/>
    </w:pPr>
  </w:style>
  <w:style w:type="paragraph" w:styleId="ListBullet4">
    <w:name w:val="List Bullet 4"/>
    <w:basedOn w:val="List4"/>
    <w:rsid w:val="00760EC0"/>
    <w:pPr>
      <w:numPr>
        <w:numId w:val="3"/>
      </w:numPr>
    </w:pPr>
  </w:style>
  <w:style w:type="paragraph" w:styleId="ListBullet5">
    <w:name w:val="List Bullet 5"/>
    <w:basedOn w:val="List5"/>
    <w:rsid w:val="00760EC0"/>
    <w:pPr>
      <w:numPr>
        <w:numId w:val="4"/>
      </w:numPr>
    </w:pPr>
  </w:style>
  <w:style w:type="paragraph" w:styleId="ListContinue2">
    <w:name w:val="List Continue 2"/>
    <w:basedOn w:val="List2"/>
    <w:rsid w:val="00760EC0"/>
    <w:pPr>
      <w:ind w:firstLine="0"/>
    </w:pPr>
  </w:style>
  <w:style w:type="paragraph" w:styleId="ListContinue3">
    <w:name w:val="List Continue 3"/>
    <w:basedOn w:val="List3"/>
    <w:rsid w:val="00760EC0"/>
    <w:pPr>
      <w:ind w:left="1021" w:firstLine="0"/>
    </w:pPr>
  </w:style>
  <w:style w:type="paragraph" w:styleId="ListContinue4">
    <w:name w:val="List Continue 4"/>
    <w:basedOn w:val="List4"/>
    <w:rsid w:val="00760EC0"/>
    <w:pPr>
      <w:ind w:firstLine="0"/>
    </w:pPr>
  </w:style>
  <w:style w:type="paragraph" w:styleId="ListContinue5">
    <w:name w:val="List Continue 5"/>
    <w:basedOn w:val="List5"/>
    <w:rsid w:val="00760EC0"/>
    <w:pPr>
      <w:ind w:firstLine="0"/>
    </w:pPr>
  </w:style>
  <w:style w:type="paragraph" w:styleId="ListNumber3">
    <w:name w:val="List Number 3"/>
    <w:basedOn w:val="List3"/>
    <w:rsid w:val="00760EC0"/>
    <w:pPr>
      <w:numPr>
        <w:numId w:val="5"/>
      </w:numPr>
    </w:pPr>
  </w:style>
  <w:style w:type="paragraph" w:styleId="ListNumber4">
    <w:name w:val="List Number 4"/>
    <w:basedOn w:val="List4"/>
    <w:rsid w:val="00760EC0"/>
    <w:pPr>
      <w:numPr>
        <w:numId w:val="6"/>
      </w:numPr>
    </w:pPr>
  </w:style>
  <w:style w:type="paragraph" w:styleId="ListNumber5">
    <w:name w:val="List Number 5"/>
    <w:basedOn w:val="List5"/>
    <w:rsid w:val="00760EC0"/>
    <w:pPr>
      <w:numPr>
        <w:numId w:val="7"/>
      </w:numPr>
    </w:pPr>
  </w:style>
  <w:style w:type="paragraph" w:styleId="BlockText">
    <w:name w:val="Block Text"/>
    <w:basedOn w:val="Normal"/>
    <w:rsid w:val="00760EC0"/>
    <w:pPr>
      <w:spacing w:after="120"/>
      <w:ind w:left="1440" w:right="1440"/>
    </w:pPr>
  </w:style>
  <w:style w:type="character" w:customStyle="1" w:styleId="Subscript">
    <w:name w:val="Subscript"/>
    <w:basedOn w:val="DefaultParagraphFont"/>
    <w:rsid w:val="00760EC0"/>
    <w:rPr>
      <w:sz w:val="16"/>
      <w:vertAlign w:val="subscript"/>
    </w:rPr>
  </w:style>
  <w:style w:type="character" w:customStyle="1" w:styleId="Superscript">
    <w:name w:val="Superscript"/>
    <w:basedOn w:val="DefaultParagraphFont"/>
    <w:rsid w:val="00760EC0"/>
    <w:rPr>
      <w:sz w:val="16"/>
      <w:vertAlign w:val="superscript"/>
    </w:rPr>
  </w:style>
  <w:style w:type="character" w:customStyle="1" w:styleId="Symbols">
    <w:name w:val="Symbols"/>
    <w:basedOn w:val="DefaultParagraphFont"/>
    <w:rsid w:val="00760EC0"/>
    <w:rPr>
      <w:rFonts w:ascii="Symbol" w:hAnsi="Symbol"/>
    </w:rPr>
  </w:style>
  <w:style w:type="character" w:customStyle="1" w:styleId="MenuOptions">
    <w:name w:val="Menu Options"/>
    <w:basedOn w:val="DefaultParagraphFont"/>
    <w:rsid w:val="00760EC0"/>
    <w:rPr>
      <w:rFonts w:ascii="Arial Narrow" w:hAnsi="Arial Narrow"/>
      <w:smallCaps/>
    </w:rPr>
  </w:style>
  <w:style w:type="character" w:customStyle="1" w:styleId="Buttons">
    <w:name w:val="Buttons"/>
    <w:basedOn w:val="DefaultParagraphFont"/>
    <w:rsid w:val="00760EC0"/>
    <w:rPr>
      <w:b/>
    </w:rPr>
  </w:style>
  <w:style w:type="character" w:customStyle="1" w:styleId="Underlined">
    <w:name w:val="Underlined"/>
    <w:basedOn w:val="DefaultParagraphFont"/>
    <w:rsid w:val="00760EC0"/>
    <w:rPr>
      <w:u w:val="single"/>
    </w:rPr>
  </w:style>
  <w:style w:type="paragraph" w:customStyle="1" w:styleId="TableBodyTextRight">
    <w:name w:val="Table Body Text Right"/>
    <w:basedOn w:val="TableBodyText"/>
    <w:rsid w:val="00760EC0"/>
    <w:pPr>
      <w:widowControl w:val="0"/>
      <w:autoSpaceDE w:val="0"/>
      <w:autoSpaceDN w:val="0"/>
      <w:adjustRightInd w:val="0"/>
      <w:jc w:val="right"/>
    </w:pPr>
    <w:rPr>
      <w:rFonts w:cs="Arial"/>
      <w:szCs w:val="18"/>
    </w:rPr>
  </w:style>
  <w:style w:type="paragraph" w:customStyle="1" w:styleId="CopyrightText">
    <w:name w:val="Copyright Text"/>
    <w:basedOn w:val="BodyText"/>
    <w:rsid w:val="00760EC0"/>
    <w:rPr>
      <w:sz w:val="18"/>
    </w:rPr>
  </w:style>
  <w:style w:type="paragraph" w:customStyle="1" w:styleId="BodySmallRight">
    <w:name w:val="Body Small Right"/>
    <w:basedOn w:val="BodyTextRight"/>
    <w:rsid w:val="00760EC0"/>
    <w:rPr>
      <w:sz w:val="18"/>
      <w:szCs w:val="18"/>
    </w:rPr>
  </w:style>
  <w:style w:type="paragraph" w:customStyle="1" w:styleId="MarginEdition">
    <w:name w:val="Margin Edition"/>
    <w:basedOn w:val="MarginNote"/>
    <w:rsid w:val="00760EC0"/>
    <w:pPr>
      <w:spacing w:before="0" w:after="0"/>
    </w:pPr>
    <w:rPr>
      <w:rFonts w:ascii="Times New Roman" w:hAnsi="Times New Roman"/>
      <w:color w:val="999999"/>
    </w:rPr>
  </w:style>
  <w:style w:type="paragraph" w:customStyle="1" w:styleId="Spacer">
    <w:name w:val="Spacer"/>
    <w:basedOn w:val="Normal"/>
    <w:rsid w:val="00760EC0"/>
    <w:rPr>
      <w:sz w:val="2"/>
      <w:szCs w:val="2"/>
    </w:rPr>
  </w:style>
  <w:style w:type="character" w:customStyle="1" w:styleId="Small">
    <w:name w:val="Small"/>
    <w:basedOn w:val="DefaultParagraphFont"/>
    <w:rsid w:val="00760EC0"/>
    <w:rPr>
      <w:sz w:val="16"/>
    </w:rPr>
  </w:style>
  <w:style w:type="paragraph" w:customStyle="1" w:styleId="WideTable">
    <w:name w:val="Wide Table"/>
    <w:basedOn w:val="Normal"/>
    <w:rsid w:val="00760EC0"/>
    <w:pPr>
      <w:ind w:left="-1418"/>
    </w:pPr>
    <w:rPr>
      <w:sz w:val="2"/>
      <w:szCs w:val="2"/>
    </w:rPr>
  </w:style>
  <w:style w:type="character" w:styleId="PageNumber">
    <w:name w:val="page number"/>
    <w:basedOn w:val="DefaultParagraphFont"/>
    <w:rsid w:val="00760EC0"/>
  </w:style>
  <w:style w:type="paragraph" w:styleId="Quote">
    <w:name w:val="Quote"/>
    <w:basedOn w:val="Heading1"/>
    <w:link w:val="QuoteChar"/>
    <w:qFormat/>
    <w:rsid w:val="00760EC0"/>
    <w:rPr>
      <w:b w:val="0"/>
      <w:sz w:val="72"/>
      <w:szCs w:val="72"/>
      <w:lang w:val="en-NZ"/>
    </w:rPr>
  </w:style>
  <w:style w:type="character" w:customStyle="1" w:styleId="QuoteChar">
    <w:name w:val="Quote Char"/>
    <w:basedOn w:val="DefaultParagraphFont"/>
    <w:link w:val="Quote"/>
    <w:rsid w:val="00760E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EC0"/>
    <w:pPr>
      <w:pageBreakBefore/>
    </w:pPr>
  </w:style>
  <w:style w:type="paragraph" w:customStyle="1" w:styleId="Border">
    <w:name w:val="Border"/>
    <w:basedOn w:val="Normal"/>
    <w:qFormat/>
    <w:rsid w:val="00760E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EC0"/>
    <w:rPr>
      <w:b/>
      <w:bCs/>
      <w:i/>
      <w:iCs/>
      <w:color w:val="auto"/>
    </w:rPr>
  </w:style>
  <w:style w:type="paragraph" w:styleId="IntenseQuote">
    <w:name w:val="Intense Quote"/>
    <w:basedOn w:val="Normal"/>
    <w:next w:val="Normal"/>
    <w:link w:val="IntenseQuoteChar"/>
    <w:uiPriority w:val="30"/>
    <w:qFormat/>
    <w:rsid w:val="00760E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E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EC0"/>
    <w:rPr>
      <w:smallCaps/>
      <w:color w:val="auto"/>
      <w:u w:val="single"/>
    </w:rPr>
  </w:style>
  <w:style w:type="character" w:styleId="IntenseReference">
    <w:name w:val="Intense Reference"/>
    <w:basedOn w:val="DefaultParagraphFont"/>
    <w:uiPriority w:val="32"/>
    <w:qFormat/>
    <w:rsid w:val="00760EC0"/>
    <w:rPr>
      <w:b/>
      <w:bCs/>
      <w:smallCaps/>
      <w:color w:val="auto"/>
      <w:spacing w:val="5"/>
      <w:u w:val="single"/>
    </w:rPr>
  </w:style>
  <w:style w:type="paragraph" w:customStyle="1" w:styleId="2ColumnHeading">
    <w:name w:val="2Column Heading"/>
    <w:basedOn w:val="BodyText"/>
    <w:qFormat/>
    <w:rsid w:val="00760EC0"/>
    <w:pPr>
      <w:spacing w:after="60"/>
      <w:ind w:left="-2268"/>
    </w:pPr>
    <w:rPr>
      <w:b/>
    </w:rPr>
  </w:style>
  <w:style w:type="paragraph" w:customStyle="1" w:styleId="Heading1TOC">
    <w:name w:val="Heading1 TOC"/>
    <w:basedOn w:val="Normal"/>
    <w:qFormat/>
    <w:rsid w:val="00760EC0"/>
    <w:pPr>
      <w:spacing w:before="240" w:after="120"/>
    </w:pPr>
    <w:rPr>
      <w:rFonts w:ascii="Times New Roman" w:hAnsi="Times New Roman"/>
      <w:b/>
      <w:sz w:val="32"/>
    </w:rPr>
  </w:style>
  <w:style w:type="paragraph" w:customStyle="1" w:styleId="Heading2TOC">
    <w:name w:val="Heading2 TOC"/>
    <w:basedOn w:val="Normal"/>
    <w:qFormat/>
    <w:rsid w:val="00760EC0"/>
    <w:pPr>
      <w:spacing w:before="240" w:after="60"/>
    </w:pPr>
    <w:rPr>
      <w:rFonts w:ascii="Times New Roman" w:hAnsi="Times New Roman"/>
      <w:b/>
      <w:sz w:val="28"/>
    </w:rPr>
  </w:style>
  <w:style w:type="character" w:customStyle="1" w:styleId="Underline">
    <w:name w:val="Underline"/>
    <w:basedOn w:val="DefaultParagraphFont"/>
    <w:qFormat/>
    <w:rsid w:val="00760EC0"/>
    <w:rPr>
      <w:u w:val="single"/>
    </w:rPr>
  </w:style>
  <w:style w:type="paragraph" w:styleId="BalloonText">
    <w:name w:val="Balloon Text"/>
    <w:basedOn w:val="Normal"/>
    <w:link w:val="BalloonTextChar"/>
    <w:rsid w:val="00760EC0"/>
    <w:rPr>
      <w:rFonts w:ascii="Tahoma" w:hAnsi="Tahoma" w:cs="Tahoma"/>
      <w:sz w:val="16"/>
      <w:szCs w:val="16"/>
    </w:rPr>
  </w:style>
  <w:style w:type="character" w:customStyle="1" w:styleId="BalloonTextChar">
    <w:name w:val="Balloon Text Char"/>
    <w:basedOn w:val="DefaultParagraphFont"/>
    <w:link w:val="BalloonText"/>
    <w:rsid w:val="00760E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E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0E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EC0"/>
    <w:rPr>
      <w:b/>
      <w:color w:val="660033"/>
      <w:spacing w:val="0"/>
    </w:rPr>
  </w:style>
  <w:style w:type="paragraph" w:customStyle="1" w:styleId="Nameditemlist">
    <w:name w:val="Named item list"/>
    <w:basedOn w:val="BodyText"/>
    <w:qFormat/>
    <w:rsid w:val="00760E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1463</Words>
  <Characters>9184</Characters>
  <Application>Microsoft Office Word</Application>
  <DocSecurity>0</DocSecurity>
  <Lines>335</Lines>
  <Paragraphs>176</Paragraphs>
  <ScaleCrop>false</ScaleCrop>
  <Company>Author-it Software Corporation Ltd.</Company>
  <LinksUpToDate>false</LinksUpToDate>
  <CharactersWithSpaces>10578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RIIPEO202A Provide deck support for conveyor-car high wall mining operations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2012-10-11T22:09:00Z</dcterms:created>
  <dcterms:modified xsi:type="dcterms:W3CDTF">2012-10-11T22:09:00Z</dcterms:modified>
</cp:coreProperties>
</file>