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58B5" w:rsidP="00D858B5">
      <w:pPr>
        <w:pStyle w:val="Title"/>
      </w:pPr>
      <w:r>
        <w:fldChar w:fldCharType="begin"/>
      </w:r>
      <w:r>
        <w:instrText xml:space="preserve"> TITLE   \* MERGEFORMAT </w:instrText>
      </w:r>
      <w:r>
        <w:fldChar w:fldCharType="separate"/>
      </w:r>
      <w:r>
        <w:t>RIIPBP302A Control operations in acid plant</w:t>
      </w:r>
      <w:r>
        <w:fldChar w:fldCharType="end"/>
      </w:r>
    </w:p>
    <w:p w:rsidR="00D858B5" w:rsidP="00D858B5">
      <w:pPr>
        <w:pStyle w:val="Version"/>
        <w:sectPr w:rsidSect="00C830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3015" w:rsidP="00C83015">
      <w:pPr>
        <w:pStyle w:val="SuperHeading"/>
      </w:pPr>
      <w:r w:rsidRPr="00C83015">
        <w:t>RIIPBP302A Control operations in acid plant</w:t>
      </w:r>
    </w:p>
    <w:p w:rsidR="00000000" w:rsidRPr="00C83015" w:rsidP="00C83015">
      <w:pPr>
        <w:pStyle w:val="Heading1"/>
      </w:pPr>
      <w:bookmarkStart w:id="1" w:name="O_132951"/>
      <w:bookmarkEnd w:id="1"/>
      <w:r w:rsidRPr="00C83015">
        <w:t>Modification History</w:t>
      </w:r>
    </w:p>
    <w:p w:rsidR="00000000" w:rsidRPr="00C83015" w:rsidP="00C83015">
      <w:pPr>
        <w:pStyle w:val="BodyText"/>
      </w:pPr>
      <w:r w:rsidRPr="00C83015">
        <w:t>Not applicable.</w:t>
      </w:r>
    </w:p>
    <w:p w:rsidR="00000000" w:rsidRPr="00C83015" w:rsidP="00C83015">
      <w:pPr>
        <w:pStyle w:val="AllowPageBreak"/>
      </w:pPr>
    </w:p>
    <w:p w:rsidR="00000000" w:rsidRPr="00C83015" w:rsidP="00C83015">
      <w:pPr>
        <w:pStyle w:val="Heading1"/>
      </w:pPr>
      <w:bookmarkStart w:id="2" w:name="O_132952"/>
      <w:bookmarkEnd w:id="2"/>
      <w:r w:rsidRPr="00C83015">
        <w:t>Unit Descriptor</w:t>
      </w:r>
    </w:p>
    <w:p w:rsidR="00000000" w:rsidRPr="00C83015" w:rsidP="00C83015">
      <w:pPr>
        <w:pStyle w:val="BodyText"/>
      </w:pPr>
      <w:r w:rsidRPr="00C83015">
        <w:t>This unit covers the controlling of acid plant operations in the metalliferous mining industry. It includes assuming contr</w:t>
      </w:r>
      <w:r w:rsidRPr="00C83015">
        <w:t>ol of acid plant operations from a previous shift, managing acid plant operations, and passing control of the acid plant to the next shift. Licensing, legislative, regulatory and certification requirements that apply to this unit can vary between states, t</w:t>
      </w:r>
      <w:r w:rsidRPr="00C83015">
        <w:t>erritories, and industry sectors. Relevant information must be sourced prior to application of the unit.</w:t>
      </w:r>
    </w:p>
    <w:p w:rsidR="00000000" w:rsidRPr="00C83015" w:rsidP="00C83015">
      <w:pPr>
        <w:pStyle w:val="AllowPageBreak"/>
      </w:pPr>
    </w:p>
    <w:p w:rsidR="00000000" w:rsidRPr="00C83015" w:rsidP="00C83015">
      <w:pPr>
        <w:pStyle w:val="Heading1"/>
      </w:pPr>
      <w:bookmarkStart w:id="3" w:name="O_132953"/>
      <w:bookmarkEnd w:id="3"/>
      <w:r w:rsidRPr="00C83015">
        <w:t>Application of the Unit</w:t>
      </w:r>
    </w:p>
    <w:p w:rsidR="00000000" w:rsidRPr="00C83015" w:rsidP="00C83015">
      <w:pPr>
        <w:pStyle w:val="BodyText"/>
      </w:pPr>
      <w:r w:rsidRPr="00C83015">
        <w:t>This unit is appropriate for those working in a technician role at worksites within:</w:t>
      </w:r>
    </w:p>
    <w:p w:rsidR="00000000" w:rsidRPr="00C83015" w:rsidP="00C83015">
      <w:pPr>
        <w:pStyle w:val="ListBullet"/>
      </w:pPr>
      <w:r w:rsidRPr="00C83015">
        <w:t>Metalliferous mining</w:t>
      </w:r>
    </w:p>
    <w:p w:rsidR="00000000" w:rsidRPr="00C83015" w:rsidP="00C83015">
      <w:pPr>
        <w:pStyle w:val="AllowPageBreak"/>
      </w:pPr>
    </w:p>
    <w:p w:rsidR="00000000" w:rsidRPr="00C83015" w:rsidP="00C83015">
      <w:pPr>
        <w:pStyle w:val="Heading1"/>
      </w:pPr>
      <w:bookmarkStart w:id="4" w:name="O_132954"/>
      <w:bookmarkEnd w:id="4"/>
      <w:r w:rsidRPr="00C83015">
        <w:t>Licensing/Regulatory Information</w:t>
      </w:r>
    </w:p>
    <w:p w:rsidR="00000000" w:rsidRPr="00C83015" w:rsidP="00C83015">
      <w:pPr>
        <w:pStyle w:val="BodyText"/>
      </w:pPr>
      <w:r w:rsidRPr="00C83015">
        <w:t>Refer to Unit Descriptor.</w:t>
      </w:r>
    </w:p>
    <w:p w:rsidR="00000000" w:rsidRPr="00C83015" w:rsidP="00C83015">
      <w:pPr>
        <w:pStyle w:val="AllowPageBreak"/>
      </w:pPr>
    </w:p>
    <w:p w:rsidR="00000000" w:rsidRPr="00C83015" w:rsidP="00C83015">
      <w:pPr>
        <w:pStyle w:val="Heading1"/>
      </w:pPr>
      <w:bookmarkStart w:id="5" w:name="O_132956"/>
      <w:bookmarkEnd w:id="5"/>
      <w:r w:rsidRPr="00C83015">
        <w:t>Pre-Requisites</w:t>
      </w:r>
    </w:p>
    <w:p w:rsidR="00000000" w:rsidRPr="00C83015" w:rsidP="00C83015">
      <w:pPr>
        <w:pStyle w:val="BodyText"/>
      </w:pPr>
      <w:r w:rsidRPr="00C83015">
        <w:t>Not applicable.</w:t>
      </w:r>
    </w:p>
    <w:p w:rsidR="00000000" w:rsidRPr="00C83015" w:rsidP="00C83015">
      <w:pPr>
        <w:pStyle w:val="AllowPageBreak"/>
      </w:pPr>
    </w:p>
    <w:p w:rsidR="00000000" w:rsidRPr="00C83015" w:rsidP="00C83015">
      <w:pPr>
        <w:pStyle w:val="Heading1"/>
      </w:pPr>
      <w:bookmarkStart w:id="6" w:name="O_132955"/>
      <w:bookmarkEnd w:id="6"/>
      <w:r w:rsidRPr="00C83015">
        <w:t>Employability Skills Information</w:t>
      </w:r>
    </w:p>
    <w:p w:rsidR="00000000" w:rsidRPr="00C83015" w:rsidP="00C83015">
      <w:pPr>
        <w:pStyle w:val="BodyText"/>
      </w:pPr>
      <w:r w:rsidRPr="00C83015">
        <w:t>This unit contains employability skills.</w:t>
      </w:r>
    </w:p>
    <w:p w:rsidR="00000000" w:rsidRPr="00C83015" w:rsidP="00C83015">
      <w:pPr>
        <w:pStyle w:val="AllowPageBreak"/>
      </w:pPr>
    </w:p>
    <w:p w:rsidR="00000000" w:rsidRPr="00C83015" w:rsidP="00C83015">
      <w:pPr>
        <w:pStyle w:val="Heading1"/>
      </w:pPr>
      <w:bookmarkStart w:id="7" w:name="O_132957"/>
      <w:bookmarkEnd w:id="7"/>
      <w:r w:rsidRPr="00C83015">
        <w:t>Elements and Performance Criteria Pre-Content</w:t>
      </w:r>
    </w:p>
    <w:tbl>
      <w:tblPr>
        <w:tblW w:w="0" w:type="auto"/>
        <w:tblLayout w:type="fixed"/>
        <w:tblCellMar>
          <w:left w:w="62" w:type="dxa"/>
          <w:right w:w="62" w:type="dxa"/>
        </w:tblCellMar>
        <w:tblLook w:val="0000"/>
      </w:tblPr>
      <w:tblGrid>
        <w:gridCol w:w="2533"/>
        <w:gridCol w:w="5989"/>
      </w:tblGrid>
      <w:tr w:rsidTr="00D858B5">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BodyText"/>
              <w:rPr>
                <w:lang w:val="en-NZ"/>
              </w:rPr>
            </w:pPr>
            <w:r w:rsidRPr="00C83015">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015" w:rsidP="00C83015">
            <w:pPr>
              <w:pStyle w:val="BodyText"/>
            </w:pPr>
            <w:r w:rsidRPr="00C83015">
              <w:t>Performance criteria describe the performance needed to demonstrate achievement of the element. Where bold italicised text is used, further info</w:t>
            </w:r>
            <w:r w:rsidRPr="00C83015">
              <w:t>rmation is detailed in the required skills and knowledge section and the range statement. Assessment of performance is to be consistent with the evidence guide.</w:t>
            </w:r>
          </w:p>
        </w:tc>
      </w:tr>
    </w:tbl>
    <w:p w:rsidR="00000000" w:rsidRPr="00C83015" w:rsidP="00C83015">
      <w:pPr>
        <w:pStyle w:val="BodyText"/>
      </w:pPr>
    </w:p>
    <w:p w:rsidR="00000000" w:rsidRPr="00C83015" w:rsidP="00C83015">
      <w:pPr>
        <w:pStyle w:val="AllowPageBreak"/>
      </w:pPr>
    </w:p>
    <w:p w:rsidR="00000000" w:rsidRPr="00C83015" w:rsidP="00C83015">
      <w:pPr>
        <w:pStyle w:val="Heading1"/>
      </w:pPr>
      <w:bookmarkStart w:id="8" w:name="O_132958"/>
      <w:bookmarkEnd w:id="8"/>
      <w:r w:rsidRPr="00C83015">
        <w:t>Elements and Performance Criteria</w:t>
      </w:r>
    </w:p>
    <w:tbl>
      <w:tblPr>
        <w:tblW w:w="0" w:type="auto"/>
        <w:tblLayout w:type="fixed"/>
        <w:tblCellMar>
          <w:left w:w="62" w:type="dxa"/>
          <w:right w:w="62" w:type="dxa"/>
        </w:tblCellMar>
        <w:tblLook w:val="0000"/>
      </w:tblPr>
      <w:tblGrid>
        <w:gridCol w:w="3471"/>
        <w:gridCol w:w="5051"/>
      </w:tblGrid>
      <w:tr w:rsidTr="00D858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015" w:rsidP="00C83015">
            <w:pPr>
              <w:pStyle w:val="BodyText"/>
            </w:pPr>
            <w:r w:rsidRPr="00C8301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BodyText"/>
              <w:rPr>
                <w:lang w:val="en-NZ"/>
              </w:rPr>
            </w:pPr>
            <w:r w:rsidRPr="00C83015">
              <w:rPr>
                <w:rStyle w:val="SpecialBold"/>
              </w:rPr>
              <w:t>PERFORMANCE CRITERIA</w:t>
            </w:r>
          </w:p>
        </w:tc>
      </w:tr>
      <w:tr w:rsidTr="00D858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List"/>
              <w:rPr>
                <w:lang w:val="en-NZ"/>
              </w:rPr>
            </w:pPr>
            <w:r w:rsidRPr="00C83015">
              <w:t>1.</w:t>
            </w:r>
            <w:r w:rsidRPr="00C83015">
              <w:tab/>
            </w:r>
            <w:r w:rsidRPr="00C83015">
              <w:t>Assume control of acid plant operations from previous shift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015" w:rsidP="00C83015">
            <w:pPr>
              <w:pStyle w:val="List2"/>
            </w:pPr>
            <w:r w:rsidRPr="00C83015">
              <w:t>1.1.</w:t>
            </w:r>
            <w:r w:rsidRPr="00C83015">
              <w:tab/>
              <w:t xml:space="preserve">Access, interpret and apply </w:t>
            </w:r>
            <w:r w:rsidRPr="00C83015">
              <w:rPr>
                <w:rStyle w:val="BoldandItalics"/>
              </w:rPr>
              <w:t>compliance documentation</w:t>
            </w:r>
            <w:r w:rsidRPr="00C83015">
              <w:t xml:space="preserve"> relevant to the work activity</w:t>
            </w:r>
          </w:p>
          <w:p w:rsidR="00000000" w:rsidRPr="00C83015" w:rsidP="00C83015">
            <w:pPr>
              <w:pStyle w:val="List2"/>
            </w:pPr>
            <w:r w:rsidRPr="00C83015">
              <w:t>1.2.</w:t>
            </w:r>
            <w:r w:rsidRPr="00C83015">
              <w:tab/>
              <w:t>Communicate with other personnel by approved methods</w:t>
            </w:r>
          </w:p>
          <w:p w:rsidR="00000000" w:rsidRPr="00C83015" w:rsidP="00C83015">
            <w:pPr>
              <w:pStyle w:val="List2"/>
            </w:pPr>
            <w:r w:rsidRPr="00C83015">
              <w:t>1.3.</w:t>
            </w:r>
            <w:r w:rsidRPr="00C83015">
              <w:tab/>
              <w:t>Receive, interpret and clarify shift changeov</w:t>
            </w:r>
            <w:r w:rsidRPr="00C83015">
              <w:t>er information</w:t>
            </w:r>
          </w:p>
          <w:p w:rsidR="00000000" w:rsidRPr="00C83015" w:rsidP="00C83015">
            <w:pPr>
              <w:pStyle w:val="List2"/>
            </w:pPr>
            <w:r w:rsidRPr="00C83015">
              <w:t>1.4.</w:t>
            </w:r>
            <w:r w:rsidRPr="00C83015">
              <w:tab/>
              <w:t>Ensure area is well ventilated before entry into work area</w:t>
            </w:r>
          </w:p>
          <w:p w:rsidR="00000000" w:rsidRPr="00C83015" w:rsidP="00C83015">
            <w:pPr>
              <w:pStyle w:val="List2"/>
            </w:pPr>
            <w:r w:rsidRPr="00C83015">
              <w:t>1.5.</w:t>
            </w:r>
            <w:r w:rsidRPr="00C83015">
              <w:tab/>
              <w:t>Select personal protective equipment appropriate for work activities</w:t>
            </w:r>
          </w:p>
          <w:p w:rsidR="00000000" w:rsidRPr="00C83015" w:rsidP="00C83015">
            <w:pPr>
              <w:pStyle w:val="List2"/>
            </w:pPr>
            <w:r w:rsidRPr="00C83015">
              <w:t>1.6.</w:t>
            </w:r>
            <w:r w:rsidRPr="00C83015">
              <w:tab/>
              <w:t xml:space="preserve">Perform </w:t>
            </w:r>
            <w:r w:rsidRPr="00C83015">
              <w:rPr>
                <w:rStyle w:val="BoldandItalics"/>
              </w:rPr>
              <w:t>pre</w:t>
            </w:r>
            <w:r w:rsidRPr="00C83015">
              <w:t>-</w:t>
            </w:r>
            <w:r w:rsidRPr="00C83015">
              <w:rPr>
                <w:rStyle w:val="BoldandItalics"/>
              </w:rPr>
              <w:t>start checks</w:t>
            </w:r>
            <w:r w:rsidRPr="00C83015">
              <w:t xml:space="preserve"> to ensure correct equipment operation</w:t>
            </w:r>
          </w:p>
          <w:p w:rsidR="00000000" w:rsidRPr="00C83015" w:rsidP="00C83015">
            <w:pPr>
              <w:pStyle w:val="List2"/>
            </w:pPr>
            <w:r w:rsidRPr="00C83015">
              <w:t>1.7.</w:t>
            </w:r>
            <w:r w:rsidRPr="00C83015">
              <w:tab/>
            </w:r>
            <w:r w:rsidRPr="00C83015">
              <w:t>Identify, address and report potential risks and hazards</w:t>
            </w:r>
          </w:p>
          <w:p w:rsidR="00000000" w:rsidP="00C83015">
            <w:pPr>
              <w:pStyle w:val="List2"/>
              <w:rPr>
                <w:lang w:val="en-NZ"/>
              </w:rPr>
            </w:pPr>
            <w:r w:rsidRPr="00C83015">
              <w:t>1.8.</w:t>
            </w:r>
            <w:r w:rsidRPr="00C83015">
              <w:tab/>
              <w:t xml:space="preserve">Identify, address and report </w:t>
            </w:r>
            <w:r w:rsidRPr="00C83015">
              <w:rPr>
                <w:rStyle w:val="BoldandItalics"/>
              </w:rPr>
              <w:t>environmental issues</w:t>
            </w:r>
          </w:p>
        </w:tc>
      </w:tr>
      <w:tr w:rsidTr="00D858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List"/>
              <w:rPr>
                <w:lang w:val="en-NZ"/>
              </w:rPr>
            </w:pPr>
            <w:r w:rsidRPr="00C83015">
              <w:t>2.</w:t>
            </w:r>
            <w:r w:rsidRPr="00C83015">
              <w:tab/>
              <w:t>Manage acid plant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015" w:rsidP="00C83015">
            <w:pPr>
              <w:pStyle w:val="List2"/>
            </w:pPr>
            <w:r w:rsidRPr="00C83015">
              <w:t>2.1.</w:t>
            </w:r>
            <w:r w:rsidRPr="00C83015">
              <w:tab/>
            </w:r>
            <w:r w:rsidRPr="00C83015">
              <w:rPr>
                <w:rStyle w:val="BoldandItalics"/>
              </w:rPr>
              <w:t>Monitor</w:t>
            </w:r>
            <w:r w:rsidRPr="00C83015">
              <w:t xml:space="preserve"> performance of acid </w:t>
            </w:r>
            <w:r w:rsidRPr="00C83015">
              <w:rPr>
                <w:rStyle w:val="BoldandItalics"/>
              </w:rPr>
              <w:t>plant</w:t>
            </w:r>
            <w:r w:rsidRPr="00C83015">
              <w:t xml:space="preserve"> components regularly</w:t>
            </w:r>
          </w:p>
          <w:p w:rsidR="00000000" w:rsidRPr="00C83015" w:rsidP="00C83015">
            <w:pPr>
              <w:pStyle w:val="List2"/>
            </w:pPr>
            <w:r w:rsidRPr="00C83015">
              <w:t>2.2.</w:t>
            </w:r>
            <w:r w:rsidRPr="00C83015">
              <w:tab/>
              <w:t>Regulate flow of substrate between process com</w:t>
            </w:r>
            <w:r w:rsidRPr="00C83015">
              <w:t>ponents to maximise production</w:t>
            </w:r>
          </w:p>
          <w:p w:rsidR="00000000" w:rsidRPr="00C83015" w:rsidP="00C83015">
            <w:pPr>
              <w:pStyle w:val="List2"/>
            </w:pPr>
            <w:r w:rsidRPr="00C83015">
              <w:t>2.3.</w:t>
            </w:r>
            <w:r w:rsidRPr="00C83015">
              <w:tab/>
              <w:t>Regulate heat exchangers in accordance with operational requirements</w:t>
            </w:r>
          </w:p>
          <w:p w:rsidR="00000000" w:rsidRPr="00C83015" w:rsidP="00C83015">
            <w:pPr>
              <w:pStyle w:val="List2"/>
            </w:pPr>
            <w:r w:rsidRPr="00C83015">
              <w:t>2.4.</w:t>
            </w:r>
            <w:r w:rsidRPr="00C83015">
              <w:tab/>
              <w:t xml:space="preserve">Handle acid </w:t>
            </w:r>
            <w:r w:rsidRPr="00C83015">
              <w:rPr>
                <w:rStyle w:val="BoldandItalics"/>
              </w:rPr>
              <w:t>plant</w:t>
            </w:r>
            <w:r w:rsidRPr="00C83015">
              <w:t xml:space="preserve"> products and reagents safely at all times</w:t>
            </w:r>
          </w:p>
          <w:p w:rsidR="00000000" w:rsidRPr="00C83015" w:rsidP="00C83015">
            <w:pPr>
              <w:pStyle w:val="List2"/>
            </w:pPr>
            <w:r w:rsidRPr="00C83015">
              <w:t>2.5.</w:t>
            </w:r>
            <w:r w:rsidRPr="00C83015">
              <w:tab/>
            </w:r>
            <w:r w:rsidRPr="00C83015">
              <w:rPr>
                <w:rStyle w:val="Emphasis"/>
              </w:rPr>
              <w:t>Monitor</w:t>
            </w:r>
            <w:r w:rsidRPr="00C83015">
              <w:t xml:space="preserve"> and adjust volume of gas through acid </w:t>
            </w:r>
            <w:r w:rsidRPr="00C83015">
              <w:rPr>
                <w:rStyle w:val="BoldandItalics"/>
              </w:rPr>
              <w:t>plant</w:t>
            </w:r>
          </w:p>
          <w:p w:rsidR="00000000" w:rsidRPr="00C83015" w:rsidP="00C83015">
            <w:pPr>
              <w:pStyle w:val="List2"/>
            </w:pPr>
            <w:r w:rsidRPr="00C83015">
              <w:t>2.6.</w:t>
            </w:r>
            <w:r w:rsidRPr="00C83015">
              <w:tab/>
              <w:t>Regulate gas impurity re</w:t>
            </w:r>
            <w:r w:rsidRPr="00C83015">
              <w:t>moval systems</w:t>
            </w:r>
          </w:p>
          <w:p w:rsidR="00000000" w:rsidRPr="00C83015" w:rsidP="00C83015">
            <w:pPr>
              <w:pStyle w:val="List2"/>
            </w:pPr>
            <w:r w:rsidRPr="00C83015">
              <w:t>2.7.</w:t>
            </w:r>
            <w:r w:rsidRPr="00C83015">
              <w:tab/>
              <w:t xml:space="preserve">Regulate by-product disposal in accordance with </w:t>
            </w:r>
            <w:r w:rsidRPr="00C83015">
              <w:rPr>
                <w:rStyle w:val="BoldandItalics"/>
              </w:rPr>
              <w:t>plant</w:t>
            </w:r>
            <w:r w:rsidRPr="00C83015">
              <w:t xml:space="preserve"> operating requirements</w:t>
            </w:r>
          </w:p>
          <w:p w:rsidR="00000000" w:rsidP="00C83015">
            <w:pPr>
              <w:pStyle w:val="List2"/>
              <w:rPr>
                <w:lang w:val="en-NZ"/>
              </w:rPr>
            </w:pPr>
            <w:r w:rsidRPr="00C83015">
              <w:t>2.8.</w:t>
            </w:r>
            <w:r w:rsidRPr="00C83015">
              <w:tab/>
            </w:r>
            <w:r w:rsidRPr="00C83015">
              <w:rPr>
                <w:rStyle w:val="BoldandItalics"/>
              </w:rPr>
              <w:t>Monitor</w:t>
            </w:r>
            <w:r w:rsidRPr="00C83015">
              <w:t xml:space="preserve"> available acid </w:t>
            </w:r>
            <w:r w:rsidRPr="00C83015">
              <w:rPr>
                <w:rStyle w:val="BoldandItalics"/>
              </w:rPr>
              <w:t>plant</w:t>
            </w:r>
            <w:r w:rsidRPr="00C83015">
              <w:t xml:space="preserve"> storage capacity</w:t>
            </w:r>
          </w:p>
        </w:tc>
      </w:tr>
      <w:tr w:rsidTr="00D858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List"/>
              <w:rPr>
                <w:lang w:val="en-NZ"/>
              </w:rPr>
            </w:pPr>
            <w:r w:rsidRPr="00C83015">
              <w:t>3.</w:t>
            </w:r>
            <w:r w:rsidRPr="00C83015">
              <w:tab/>
              <w:t>Pass control of acid plant to next shift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015" w:rsidP="00C83015">
            <w:pPr>
              <w:pStyle w:val="List2"/>
            </w:pPr>
            <w:r w:rsidRPr="00C83015">
              <w:t>3.1.</w:t>
            </w:r>
            <w:r w:rsidRPr="00C83015">
              <w:tab/>
              <w:t>Complete all required documentation for shift handover</w:t>
            </w:r>
          </w:p>
          <w:p w:rsidR="00000000" w:rsidRPr="00C83015" w:rsidP="00C83015">
            <w:pPr>
              <w:pStyle w:val="List2"/>
            </w:pPr>
            <w:r w:rsidRPr="00C83015">
              <w:t>3.2.</w:t>
            </w:r>
            <w:r w:rsidRPr="00C83015">
              <w:tab/>
              <w:t>Pass on all shift information to oncoming shift</w:t>
            </w:r>
          </w:p>
          <w:p w:rsidR="00000000" w:rsidRPr="00C83015" w:rsidP="00C83015">
            <w:pPr>
              <w:pStyle w:val="List2"/>
            </w:pPr>
            <w:r w:rsidRPr="00C83015">
              <w:t>3.3.</w:t>
            </w:r>
            <w:r w:rsidRPr="00C83015">
              <w:tab/>
              <w:t xml:space="preserve">Review </w:t>
            </w:r>
            <w:r w:rsidRPr="00C83015">
              <w:rPr>
                <w:rStyle w:val="BoldandItalics"/>
              </w:rPr>
              <w:t>plant</w:t>
            </w:r>
            <w:r w:rsidRPr="00C83015">
              <w:t xml:space="preserve"> performance with oncoming shift</w:t>
            </w:r>
          </w:p>
        </w:tc>
      </w:tr>
    </w:tbl>
    <w:p w:rsidR="00000000" w:rsidRPr="00C83015" w:rsidP="00C83015">
      <w:pPr>
        <w:pStyle w:val="BodyText"/>
      </w:pPr>
    </w:p>
    <w:p w:rsidR="00000000" w:rsidRPr="00C83015" w:rsidP="00C83015">
      <w:pPr>
        <w:pStyle w:val="AllowPageBreak"/>
      </w:pPr>
    </w:p>
    <w:p w:rsidR="00000000" w:rsidRPr="00C83015" w:rsidP="00C83015">
      <w:pPr>
        <w:pStyle w:val="Heading1"/>
      </w:pPr>
      <w:bookmarkStart w:id="9" w:name="O_132959"/>
      <w:bookmarkEnd w:id="9"/>
      <w:r w:rsidRPr="00C83015">
        <w:t>Required Skills and Knowledge</w:t>
      </w:r>
    </w:p>
    <w:tbl>
      <w:tblPr>
        <w:tblW w:w="0" w:type="auto"/>
        <w:tblLayout w:type="fixed"/>
        <w:tblCellMar>
          <w:left w:w="62" w:type="dxa"/>
          <w:right w:w="62" w:type="dxa"/>
        </w:tblCellMar>
        <w:tblLook w:val="0000"/>
      </w:tblPr>
      <w:tblGrid>
        <w:gridCol w:w="8522"/>
      </w:tblGrid>
      <w:tr w:rsidTr="00D858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BodyText"/>
              <w:rPr>
                <w:lang w:val="en-NZ"/>
              </w:rPr>
            </w:pPr>
            <w:r w:rsidRPr="00C83015">
              <w:t>This section describes the skills and knowledge required for this unit.</w:t>
            </w:r>
          </w:p>
        </w:tc>
      </w:tr>
      <w:tr w:rsidTr="00D858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BodyText"/>
              <w:rPr>
                <w:lang w:val="en-NZ"/>
              </w:rPr>
            </w:pPr>
            <w:r w:rsidRPr="00C83015">
              <w:rPr>
                <w:rStyle w:val="SpecialBold"/>
              </w:rPr>
              <w:t>Required skills</w:t>
            </w:r>
          </w:p>
        </w:tc>
      </w:tr>
      <w:tr w:rsidTr="00D858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015" w:rsidP="00C83015">
            <w:pPr>
              <w:pStyle w:val="BodyText"/>
            </w:pPr>
            <w:r w:rsidRPr="00C83015">
              <w:t>Specific skills are required to achieve the performance criteria of this unit, particularly for its application in the various circumstances in which this unit may be used. This includes the ability to carry out the following as required to control acid pl</w:t>
            </w:r>
            <w:r w:rsidRPr="00C83015">
              <w:t>ant operations:</w:t>
            </w:r>
          </w:p>
          <w:p w:rsidR="00000000" w:rsidRPr="00C83015" w:rsidP="00C83015">
            <w:pPr>
              <w:pStyle w:val="ListBullet"/>
            </w:pPr>
            <w:r w:rsidRPr="00C83015">
              <w:t>apply legislative, organisation and site requirements and procedures</w:t>
            </w:r>
          </w:p>
          <w:p w:rsidR="00000000" w:rsidRPr="00C83015" w:rsidP="00C83015">
            <w:pPr>
              <w:pStyle w:val="ListBullet"/>
            </w:pPr>
            <w:r w:rsidRPr="00C83015">
              <w:t>handle dangerous materials</w:t>
            </w:r>
          </w:p>
          <w:p w:rsidR="00000000" w:rsidRPr="00C83015" w:rsidP="00C83015">
            <w:pPr>
              <w:pStyle w:val="ListBullet"/>
            </w:pPr>
            <w:r w:rsidRPr="00C83015">
              <w:t>read and interpret instrumentation/interpret reports</w:t>
            </w:r>
          </w:p>
          <w:p w:rsidR="00000000" w:rsidRPr="00C83015" w:rsidP="00C83015">
            <w:pPr>
              <w:pStyle w:val="ListBullet"/>
            </w:pPr>
            <w:r w:rsidRPr="00C83015">
              <w:t>diagnose faults</w:t>
            </w:r>
          </w:p>
          <w:p w:rsidR="00000000" w:rsidRPr="00C83015" w:rsidP="00C83015">
            <w:pPr>
              <w:pStyle w:val="ListBullet"/>
            </w:pPr>
            <w:r w:rsidRPr="00C83015">
              <w:t>lift (manual, cranes and loads)</w:t>
            </w:r>
          </w:p>
          <w:p w:rsidR="00000000" w:rsidRPr="00C83015" w:rsidP="00C83015">
            <w:pPr>
              <w:pStyle w:val="ListBullet"/>
            </w:pPr>
            <w:r w:rsidRPr="00C83015">
              <w:t>maintain records</w:t>
            </w:r>
          </w:p>
          <w:p w:rsidR="00000000" w:rsidRPr="00C83015" w:rsidP="00C83015">
            <w:pPr>
              <w:pStyle w:val="ListBullet"/>
            </w:pPr>
            <w:r w:rsidRPr="00C83015">
              <w:t>apply safe work practices</w:t>
            </w:r>
          </w:p>
          <w:p w:rsidR="00000000" w:rsidP="00C83015">
            <w:pPr>
              <w:pStyle w:val="ListBullet"/>
              <w:rPr>
                <w:lang w:val="en-NZ"/>
              </w:rPr>
            </w:pPr>
            <w:r w:rsidRPr="00C83015">
              <w:t>use hand and power tools</w:t>
            </w:r>
          </w:p>
        </w:tc>
      </w:tr>
      <w:tr w:rsidTr="00D858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BodyText"/>
              <w:rPr>
                <w:lang w:val="en-NZ"/>
              </w:rPr>
            </w:pPr>
            <w:r w:rsidRPr="00C83015">
              <w:rPr>
                <w:rStyle w:val="SpecialBold"/>
              </w:rPr>
              <w:t>Required knowledge</w:t>
            </w:r>
          </w:p>
        </w:tc>
      </w:tr>
      <w:tr w:rsidTr="00D858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015" w:rsidP="00C83015">
            <w:pPr>
              <w:pStyle w:val="BodyText"/>
            </w:pPr>
            <w:r w:rsidRPr="00C83015">
              <w:t>Specific knowledge is required to achieve the performance criteria of this unit, particularly for its application in the various circumstances in which this unit may be used. This includes knowledge of the fol</w:t>
            </w:r>
            <w:r w:rsidRPr="00C83015">
              <w:t>lowing as required to control acid plant operations:</w:t>
            </w:r>
          </w:p>
          <w:p w:rsidR="00000000" w:rsidRPr="00C83015" w:rsidP="00C83015">
            <w:pPr>
              <w:pStyle w:val="ListBullet"/>
            </w:pPr>
            <w:r w:rsidRPr="00C83015">
              <w:t>breakdown procedures</w:t>
            </w:r>
          </w:p>
          <w:p w:rsidR="00000000" w:rsidRPr="00C83015" w:rsidP="00C83015">
            <w:pPr>
              <w:pStyle w:val="ListBullet"/>
            </w:pPr>
            <w:r w:rsidRPr="00C83015">
              <w:t>contaminant identification</w:t>
            </w:r>
          </w:p>
          <w:p w:rsidR="00000000" w:rsidRPr="00C83015" w:rsidP="00C83015">
            <w:pPr>
              <w:pStyle w:val="ListBullet"/>
            </w:pPr>
            <w:r w:rsidRPr="00C83015">
              <w:t>sources of acid plant materials</w:t>
            </w:r>
          </w:p>
          <w:p w:rsidR="00000000" w:rsidRPr="00C83015" w:rsidP="00C83015">
            <w:pPr>
              <w:pStyle w:val="ListBullet"/>
            </w:pPr>
            <w:r w:rsidRPr="00C83015">
              <w:t>gas purification process</w:t>
            </w:r>
          </w:p>
          <w:p w:rsidR="00000000" w:rsidRPr="00C83015" w:rsidP="00C83015">
            <w:pPr>
              <w:pStyle w:val="ListBullet"/>
            </w:pPr>
            <w:r w:rsidRPr="00C83015">
              <w:t>drying process</w:t>
            </w:r>
          </w:p>
          <w:p w:rsidR="00000000" w:rsidRPr="00C83015" w:rsidP="00C83015">
            <w:pPr>
              <w:pStyle w:val="ListBullet"/>
            </w:pPr>
            <w:r w:rsidRPr="00C83015">
              <w:t>conversion and absorption</w:t>
            </w:r>
          </w:p>
          <w:p w:rsidR="00000000" w:rsidRPr="00C83015" w:rsidP="00C83015">
            <w:pPr>
              <w:pStyle w:val="ListBullet"/>
            </w:pPr>
            <w:r w:rsidRPr="00C83015">
              <w:t>storage methods and capacities</w:t>
            </w:r>
          </w:p>
          <w:p w:rsidR="00000000" w:rsidRPr="00C83015" w:rsidP="00C83015">
            <w:pPr>
              <w:pStyle w:val="ListBullet"/>
            </w:pPr>
            <w:r w:rsidRPr="00C83015">
              <w:t>emergency procedures</w:t>
            </w:r>
          </w:p>
          <w:p w:rsidR="00000000" w:rsidRPr="00C83015" w:rsidP="00C83015">
            <w:pPr>
              <w:pStyle w:val="ListBullet"/>
            </w:pPr>
            <w:r w:rsidRPr="00C83015">
              <w:t>environmental procedures</w:t>
            </w:r>
          </w:p>
          <w:p w:rsidR="00000000" w:rsidRPr="00C83015" w:rsidP="00C83015">
            <w:pPr>
              <w:pStyle w:val="ListBullet"/>
            </w:pPr>
            <w:r w:rsidRPr="00C83015">
              <w:t>equipment limitations and operating parameters</w:t>
            </w:r>
          </w:p>
          <w:p w:rsidR="00000000" w:rsidRPr="00C83015" w:rsidP="00C83015">
            <w:pPr>
              <w:pStyle w:val="ListBullet"/>
            </w:pPr>
            <w:r w:rsidRPr="00C83015">
              <w:t>equipment safety requirements</w:t>
            </w:r>
          </w:p>
          <w:p w:rsidR="00000000" w:rsidRPr="00C83015" w:rsidP="00C83015">
            <w:pPr>
              <w:pStyle w:val="ListBullet"/>
            </w:pPr>
            <w:r w:rsidRPr="00C83015">
              <w:t>hazardous goods procedures and consequences of spills and hazardous goods</w:t>
            </w:r>
          </w:p>
          <w:p w:rsidR="00000000" w:rsidRPr="00C83015" w:rsidP="00C83015">
            <w:pPr>
              <w:pStyle w:val="ListBullet"/>
            </w:pPr>
            <w:r w:rsidRPr="00C83015">
              <w:t>identifying repair requirements</w:t>
            </w:r>
          </w:p>
          <w:p w:rsidR="00000000" w:rsidRPr="00C83015" w:rsidP="00C83015">
            <w:pPr>
              <w:pStyle w:val="ListBullet"/>
            </w:pPr>
            <w:r w:rsidRPr="00C83015">
              <w:t>isolation procedures</w:t>
            </w:r>
          </w:p>
          <w:p w:rsidR="00000000" w:rsidRPr="00C83015" w:rsidP="00C83015">
            <w:pPr>
              <w:pStyle w:val="ListBullet"/>
            </w:pPr>
            <w:r w:rsidRPr="00C83015">
              <w:t>technical data (basic)</w:t>
            </w:r>
          </w:p>
          <w:p w:rsidR="00000000" w:rsidRPr="00C83015" w:rsidP="00C83015">
            <w:pPr>
              <w:pStyle w:val="ListBullet"/>
            </w:pPr>
            <w:r w:rsidRPr="00C83015">
              <w:t xml:space="preserve">OHS </w:t>
            </w:r>
            <w:r w:rsidRPr="00C83015">
              <w:t>procedures</w:t>
            </w:r>
          </w:p>
          <w:p w:rsidR="00000000" w:rsidRPr="00C83015" w:rsidP="00C83015">
            <w:pPr>
              <w:pStyle w:val="ListBullet"/>
            </w:pPr>
            <w:r w:rsidRPr="00C83015">
              <w:t>operational procedures and checks</w:t>
            </w:r>
          </w:p>
          <w:p w:rsidR="00000000" w:rsidRPr="00C83015" w:rsidP="00C83015">
            <w:pPr>
              <w:pStyle w:val="ListBullet"/>
            </w:pPr>
            <w:r w:rsidRPr="00C83015">
              <w:t xml:space="preserve">pumping system </w:t>
            </w:r>
          </w:p>
          <w:p w:rsidR="00000000" w:rsidRPr="00C83015" w:rsidP="00C83015">
            <w:pPr>
              <w:pStyle w:val="ListBullet"/>
            </w:pPr>
            <w:r w:rsidRPr="00C83015">
              <w:t>reagent types</w:t>
            </w:r>
          </w:p>
          <w:p w:rsidR="00000000" w:rsidRPr="00C83015" w:rsidP="00C83015">
            <w:pPr>
              <w:pStyle w:val="ListBullet"/>
            </w:pPr>
            <w:r w:rsidRPr="00C83015">
              <w:t>sampling</w:t>
            </w:r>
          </w:p>
          <w:p w:rsidR="00000000" w:rsidRPr="00C83015" w:rsidP="00C83015">
            <w:pPr>
              <w:pStyle w:val="ListBullet"/>
            </w:pPr>
            <w:r w:rsidRPr="00C83015">
              <w:t>site procedures/site safety requirements</w:t>
            </w:r>
          </w:p>
          <w:p w:rsidR="00000000" w:rsidRPr="00C83015" w:rsidP="00C83015">
            <w:pPr>
              <w:pStyle w:val="ListBullet"/>
            </w:pPr>
            <w:r w:rsidRPr="00C83015">
              <w:t>types of ores (basic)</w:t>
            </w:r>
          </w:p>
          <w:p w:rsidR="00000000" w:rsidRPr="00C83015" w:rsidP="00C83015">
            <w:pPr>
              <w:pStyle w:val="ListBullet"/>
            </w:pPr>
            <w:r w:rsidRPr="00C83015">
              <w:t>wet and dry working procedures</w:t>
            </w:r>
          </w:p>
        </w:tc>
      </w:tr>
    </w:tbl>
    <w:p w:rsidR="00000000" w:rsidRPr="00C83015" w:rsidP="00C83015">
      <w:pPr>
        <w:pStyle w:val="BodyText"/>
      </w:pPr>
    </w:p>
    <w:p w:rsidR="00000000" w:rsidRPr="00C83015" w:rsidP="00C83015">
      <w:pPr>
        <w:pStyle w:val="AllowPageBreak"/>
      </w:pPr>
    </w:p>
    <w:p w:rsidR="00000000" w:rsidRPr="00C83015" w:rsidP="00C83015">
      <w:pPr>
        <w:pStyle w:val="Heading1"/>
      </w:pPr>
      <w:bookmarkStart w:id="10" w:name="O_132960"/>
      <w:bookmarkEnd w:id="10"/>
      <w:r w:rsidRPr="00C83015">
        <w:t>Evidence Guide</w:t>
      </w:r>
    </w:p>
    <w:tbl>
      <w:tblPr>
        <w:tblW w:w="0" w:type="auto"/>
        <w:tblLayout w:type="fixed"/>
        <w:tblCellMar>
          <w:left w:w="62" w:type="dxa"/>
          <w:right w:w="62" w:type="dxa"/>
        </w:tblCellMar>
        <w:tblLook w:val="0000"/>
      </w:tblPr>
      <w:tblGrid>
        <w:gridCol w:w="3448"/>
        <w:gridCol w:w="5074"/>
      </w:tblGrid>
      <w:tr w:rsidTr="00D858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BodyText"/>
              <w:rPr>
                <w:lang w:val="en-NZ"/>
              </w:rPr>
            </w:pPr>
            <w:r w:rsidRPr="00C83015">
              <w:t>The evidence guide provides advice on assessment and must be read in conjunction with the performance criteria, required skills and knowledge, range statement and the Assessment Guidelines for the Training Package.</w:t>
            </w:r>
          </w:p>
        </w:tc>
      </w:tr>
      <w:tr w:rsidTr="00D858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BodyText"/>
              <w:rPr>
                <w:lang w:val="en-NZ"/>
              </w:rPr>
            </w:pPr>
            <w:r w:rsidRPr="00C8301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BodyText"/>
              <w:rPr>
                <w:lang w:val="en-NZ"/>
              </w:rPr>
            </w:pPr>
          </w:p>
        </w:tc>
      </w:tr>
      <w:tr w:rsidTr="00D858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BodyText"/>
              <w:rPr>
                <w:lang w:val="en-NZ"/>
              </w:rPr>
            </w:pPr>
            <w:r w:rsidRPr="00C83015">
              <w:rPr>
                <w:rStyle w:val="SpecialBold"/>
              </w:rPr>
              <w:t>Critical aspec</w:t>
            </w:r>
            <w:r w:rsidRPr="00C83015">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015" w:rsidP="00C83015">
            <w:pPr>
              <w:pStyle w:val="BodyText"/>
            </w:pPr>
            <w:r w:rsidRPr="00C83015">
              <w:t xml:space="preserve">The evidence required to demonstrate competency in this unit must be relevant to worksite operations and satisfy all of the requirements of </w:t>
            </w:r>
            <w:r w:rsidRPr="00C83015">
              <w:t>the performance criteria, required skills and knowledge and the range statement of this unit and include evidence of the following:</w:t>
            </w:r>
          </w:p>
          <w:p w:rsidR="00000000" w:rsidRPr="00C83015" w:rsidP="00C83015">
            <w:pPr>
              <w:pStyle w:val="ListBullet"/>
            </w:pPr>
            <w:r w:rsidRPr="00C83015">
              <w:t>knowledge of the requirements, procedures and instructions for controlling acid plant operations</w:t>
            </w:r>
          </w:p>
          <w:p w:rsidR="00000000" w:rsidRPr="00C83015" w:rsidP="00C83015">
            <w:pPr>
              <w:pStyle w:val="ListBullet"/>
            </w:pPr>
            <w:r w:rsidRPr="00C83015">
              <w:t>implementation of requirem</w:t>
            </w:r>
            <w:r w:rsidRPr="00C83015">
              <w:t>ents, procedures and techniques for the safe, effective and efficient completion of acid plant operations control</w:t>
            </w:r>
          </w:p>
          <w:p w:rsidR="00000000" w:rsidRPr="00C83015" w:rsidP="00C83015">
            <w:pPr>
              <w:pStyle w:val="ListBullet"/>
            </w:pPr>
            <w:r w:rsidRPr="00C83015">
              <w:t>working with others to undertake and complete the control of acid plant operations that meets all of the required outcomes</w:t>
            </w:r>
          </w:p>
          <w:p w:rsidR="00000000" w:rsidP="00C83015">
            <w:pPr>
              <w:pStyle w:val="ListBullet"/>
              <w:rPr>
                <w:lang w:val="en-NZ"/>
              </w:rPr>
            </w:pPr>
            <w:r w:rsidRPr="00C83015">
              <w:t>consistent timely c</w:t>
            </w:r>
            <w:r w:rsidRPr="00C83015">
              <w:t>ompletion of acid plant operations control that safely, effectively and efficiently meets the required outcomes</w:t>
            </w:r>
          </w:p>
        </w:tc>
      </w:tr>
      <w:tr w:rsidTr="00D858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BodyText"/>
              <w:rPr>
                <w:lang w:val="en-NZ"/>
              </w:rPr>
            </w:pPr>
            <w:r w:rsidRPr="00C8301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015" w:rsidP="00C83015">
            <w:pPr>
              <w:pStyle w:val="ListBullet"/>
            </w:pPr>
            <w:r w:rsidRPr="00C83015">
              <w:t xml:space="preserve">This unit must be assessed in the context of the work environment. Where personal </w:t>
            </w:r>
            <w:r w:rsidRPr="00C83015">
              <w:t>safety or environmental damage are limiting factors, assessment may occur in a simulated environment provided it is realistic and sufficiently rigorous to cover all aspects of workplace performance, including task skills, task management skills, contingenc</w:t>
            </w:r>
            <w:r w:rsidRPr="00C83015">
              <w:t>y management skills and job role environment skills.</w:t>
            </w:r>
          </w:p>
          <w:p w:rsidR="00000000" w:rsidRPr="00C83015" w:rsidP="00C83015">
            <w:pPr>
              <w:pStyle w:val="ListBullet"/>
            </w:pPr>
            <w:r w:rsidRPr="00C83015">
              <w:t xml:space="preserve">Assessment of this competency requires typical resources normally used in a resources and infrastructure sector environment. Selection and use of resources for particular worksites may differ due to the </w:t>
            </w:r>
            <w:r w:rsidRPr="00C83015">
              <w:t>site circumstances.</w:t>
            </w:r>
          </w:p>
          <w:p w:rsidR="00000000" w:rsidRPr="00C83015" w:rsidP="00C83015">
            <w:pPr>
              <w:pStyle w:val="ListBullet"/>
            </w:pPr>
            <w:r w:rsidRPr="00C83015">
              <w:t>The assessment environment should not disadvantage the participant. For example, language, literacy and numeracy demands of assessment should not be greater than those required on the job.</w:t>
            </w:r>
          </w:p>
          <w:p w:rsidR="00000000" w:rsidRPr="00C83015" w:rsidP="00C83015">
            <w:pPr>
              <w:pStyle w:val="ListBullet"/>
            </w:pPr>
            <w:r w:rsidRPr="00C83015">
              <w:t>Customisation of assessment and delivery enviro</w:t>
            </w:r>
            <w:r w:rsidRPr="00C83015">
              <w:t>nment to sensitively accommodate cultural diversity.</w:t>
            </w:r>
          </w:p>
          <w:p w:rsidR="00000000" w:rsidRPr="00C83015" w:rsidP="00C83015">
            <w:pPr>
              <w:pStyle w:val="ListBullet"/>
            </w:pPr>
            <w:r w:rsidRPr="00C83015">
              <w:t>Aboriginal people and other people from a non English speaking background may have second language issues.</w:t>
            </w:r>
          </w:p>
          <w:p w:rsidR="00000000" w:rsidP="00C83015">
            <w:pPr>
              <w:pStyle w:val="ListBullet"/>
              <w:rPr>
                <w:lang w:val="en-NZ"/>
              </w:rPr>
            </w:pPr>
            <w:r w:rsidRPr="00C83015">
              <w:t>Where applicable, physical resources should include equipment modified for people with disabilit</w:t>
            </w:r>
            <w:r w:rsidRPr="00C83015">
              <w:t>ies. Access must be provided to appropriate learning and/or assessment support when required.</w:t>
            </w:r>
          </w:p>
        </w:tc>
      </w:tr>
      <w:tr w:rsidTr="00D858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BodyText"/>
              <w:rPr>
                <w:lang w:val="en-NZ"/>
              </w:rPr>
            </w:pPr>
            <w:r w:rsidRPr="00C8301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015" w:rsidP="00C83015">
            <w:pPr>
              <w:pStyle w:val="BodyText"/>
            </w:pPr>
            <w:r w:rsidRPr="00C83015">
              <w:t xml:space="preserve">This unit may be assessed in a holistic way with other </w:t>
            </w:r>
            <w:r w:rsidRPr="00C83015">
              <w:t xml:space="preserve">units of competency. The assessment strategy for this unit must verify required knowledge and skill and practical application using more than one of the following assessment methods: </w:t>
            </w:r>
          </w:p>
          <w:p w:rsidR="00000000" w:rsidRPr="00C83015" w:rsidP="00C83015">
            <w:pPr>
              <w:pStyle w:val="ListBullet"/>
            </w:pPr>
            <w:r w:rsidRPr="00C83015">
              <w:t>written and/or oral assessment of the candidate's required knowledge</w:t>
            </w:r>
          </w:p>
          <w:p w:rsidR="00000000" w:rsidRPr="00C83015" w:rsidP="00C83015">
            <w:pPr>
              <w:pStyle w:val="ListBullet"/>
            </w:pPr>
            <w:r w:rsidRPr="00C83015">
              <w:t>ob</w:t>
            </w:r>
            <w:r w:rsidRPr="00C83015">
              <w:t>served, documented and/or first hand testimonial evidence of the candidate's:</w:t>
            </w:r>
          </w:p>
          <w:p w:rsidR="00000000" w:rsidRPr="00C83015" w:rsidP="00C83015">
            <w:pPr>
              <w:pStyle w:val="ListBullet2"/>
            </w:pPr>
            <w:r w:rsidRPr="00C83015">
              <w:t>implementation of appropriate requirement, procedures and techniques for the safe, effective and efficient achievement of required outcomes</w:t>
            </w:r>
          </w:p>
          <w:p w:rsidR="00000000" w:rsidRPr="00C83015" w:rsidP="00C83015">
            <w:pPr>
              <w:pStyle w:val="ListBullet2"/>
            </w:pPr>
            <w:r w:rsidRPr="00C83015">
              <w:t>consistent achievement of required ou</w:t>
            </w:r>
            <w:r w:rsidRPr="00C83015">
              <w:t>tcomes</w:t>
            </w:r>
          </w:p>
          <w:p w:rsidR="00000000" w:rsidRPr="00C83015" w:rsidP="00C83015">
            <w:pPr>
              <w:pStyle w:val="ListBullet"/>
            </w:pPr>
            <w:r w:rsidRPr="00C83015">
              <w:t>first hand testimonial evidence of the candidate's:</w:t>
            </w:r>
          </w:p>
          <w:p w:rsidR="00000000" w:rsidP="00C83015">
            <w:pPr>
              <w:pStyle w:val="ListBullet2"/>
              <w:rPr>
                <w:lang w:val="en-NZ"/>
              </w:rPr>
            </w:pPr>
            <w:r w:rsidRPr="00C83015">
              <w:t>working with others to undertake and complete the control of acid plant operations</w:t>
            </w:r>
          </w:p>
        </w:tc>
      </w:tr>
      <w:tr w:rsidTr="00D858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BodyText"/>
              <w:rPr>
                <w:lang w:val="en-NZ"/>
              </w:rPr>
            </w:pPr>
            <w:r w:rsidRPr="00C8301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015" w:rsidP="00C83015">
            <w:pPr>
              <w:pStyle w:val="BodyText"/>
            </w:pPr>
            <w:r w:rsidRPr="00C83015">
              <w:t>Consult the SkillsDMC User Guide for further information on assessment including access and equity issues.</w:t>
            </w:r>
          </w:p>
        </w:tc>
      </w:tr>
    </w:tbl>
    <w:p w:rsidR="00000000" w:rsidRPr="00C83015" w:rsidP="00C83015">
      <w:pPr>
        <w:pStyle w:val="BodyText"/>
      </w:pPr>
    </w:p>
    <w:p w:rsidR="00000000" w:rsidRPr="00C83015" w:rsidP="00C83015">
      <w:pPr>
        <w:pStyle w:val="AllowPageBreak"/>
      </w:pPr>
    </w:p>
    <w:p w:rsidR="00000000" w:rsidRPr="00C83015" w:rsidP="00C83015">
      <w:pPr>
        <w:pStyle w:val="Heading1"/>
      </w:pPr>
      <w:bookmarkStart w:id="11" w:name="O_132961"/>
      <w:bookmarkEnd w:id="11"/>
      <w:r w:rsidRPr="00C83015">
        <w:t>Range Statement</w:t>
      </w:r>
    </w:p>
    <w:tbl>
      <w:tblPr>
        <w:tblW w:w="0" w:type="auto"/>
        <w:tblLayout w:type="fixed"/>
        <w:tblCellMar>
          <w:left w:w="62" w:type="dxa"/>
          <w:right w:w="62" w:type="dxa"/>
        </w:tblCellMar>
        <w:tblLook w:val="0000"/>
      </w:tblPr>
      <w:tblGrid>
        <w:gridCol w:w="3480"/>
        <w:gridCol w:w="5042"/>
      </w:tblGrid>
      <w:tr w:rsidTr="00D858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BodyText"/>
              <w:rPr>
                <w:lang w:val="en-NZ"/>
              </w:rPr>
            </w:pPr>
            <w:r w:rsidRPr="00C83015">
              <w:t>The range statement relates to the unit of competency as a whole. It allows for different work environments and si</w:t>
            </w:r>
            <w:r w:rsidRPr="00C83015">
              <w:t>tuations that may affect performance. Bold italicised wording, if used in the performance criteria, is detailed below. Essential operating conditions that may be present with training and assessment (depending on the work situation, needs of the candidate,</w:t>
            </w:r>
            <w:r w:rsidRPr="00C83015">
              <w:t xml:space="preserve"> accessibility of the item, and local industry and regional contexts) may also be included.</w:t>
            </w:r>
          </w:p>
        </w:tc>
      </w:tr>
      <w:tr w:rsidTr="00D858B5">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BodyText"/>
              <w:rPr>
                <w:lang w:val="en-NZ"/>
              </w:rPr>
            </w:pPr>
            <w:r w:rsidRPr="00C83015">
              <w:rPr>
                <w:rStyle w:val="SpecialBold"/>
              </w:rPr>
              <w:t>Relevant compliance documentation</w:t>
            </w:r>
            <w:r w:rsidRPr="00C83015">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015" w:rsidP="00C83015">
            <w:pPr>
              <w:pStyle w:val="ListBullet"/>
            </w:pPr>
            <w:r w:rsidRPr="00C83015">
              <w:t>legislative, organisational and site requirements and procedures</w:t>
            </w:r>
          </w:p>
          <w:p w:rsidR="00000000" w:rsidRPr="00C83015" w:rsidP="00C83015">
            <w:pPr>
              <w:pStyle w:val="ListBullet"/>
            </w:pPr>
            <w:r w:rsidRPr="00C83015">
              <w:t>manufacturer's guidelines and specifications</w:t>
            </w:r>
          </w:p>
          <w:p w:rsidR="00000000" w:rsidRPr="00C83015" w:rsidP="00C83015">
            <w:pPr>
              <w:pStyle w:val="ListBullet"/>
            </w:pPr>
            <w:r w:rsidRPr="00C83015">
              <w:t>Australian standards</w:t>
            </w:r>
          </w:p>
          <w:p w:rsidR="00000000" w:rsidRPr="00C83015" w:rsidP="00C83015">
            <w:pPr>
              <w:pStyle w:val="ListBullet"/>
            </w:pPr>
            <w:r w:rsidRPr="00C83015">
              <w:t>Employment and Workplace Relations legislation</w:t>
            </w:r>
          </w:p>
          <w:p w:rsidR="00000000" w:rsidP="00C83015">
            <w:pPr>
              <w:pStyle w:val="ListBullet"/>
              <w:rPr>
                <w:lang w:val="en-NZ"/>
              </w:rPr>
            </w:pPr>
            <w:r w:rsidRPr="00C83015">
              <w:t>Equal Employment Opportunity and Disability Discrimination legislation</w:t>
            </w:r>
          </w:p>
        </w:tc>
      </w:tr>
      <w:tr w:rsidTr="00D858B5">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BodyText"/>
              <w:rPr>
                <w:lang w:val="en-NZ"/>
              </w:rPr>
            </w:pPr>
            <w:r w:rsidRPr="00C83015">
              <w:rPr>
                <w:rStyle w:val="SpecialBold"/>
              </w:rPr>
              <w:t>Legislation</w:t>
            </w:r>
            <w:r w:rsidRPr="00C83015">
              <w:t xml:space="preserve"> may include acts and regulations dealing with:</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015" w:rsidP="00C83015">
            <w:pPr>
              <w:pStyle w:val="ListBullet"/>
            </w:pPr>
            <w:r w:rsidRPr="00C83015">
              <w:t>mining safety and health</w:t>
            </w:r>
          </w:p>
          <w:p w:rsidR="00000000" w:rsidRPr="00C83015" w:rsidP="00C83015">
            <w:pPr>
              <w:pStyle w:val="ListBullet"/>
            </w:pPr>
            <w:r w:rsidRPr="00C83015">
              <w:t>mine inspection</w:t>
            </w:r>
          </w:p>
          <w:p w:rsidR="00000000" w:rsidRPr="00C83015" w:rsidP="00C83015">
            <w:pPr>
              <w:pStyle w:val="ListBullet"/>
            </w:pPr>
            <w:r w:rsidRPr="00C83015">
              <w:t>OHS</w:t>
            </w:r>
          </w:p>
          <w:p w:rsidR="00000000" w:rsidRPr="00C83015" w:rsidP="00C83015">
            <w:pPr>
              <w:pStyle w:val="ListBullet"/>
            </w:pPr>
            <w:r w:rsidRPr="00C83015">
              <w:t>explosives</w:t>
            </w:r>
          </w:p>
          <w:p w:rsidR="00000000" w:rsidP="00C83015">
            <w:pPr>
              <w:pStyle w:val="ListBullet"/>
              <w:rPr>
                <w:lang w:val="en-NZ"/>
              </w:rPr>
            </w:pPr>
            <w:r w:rsidRPr="00C83015">
              <w:t>environment</w:t>
            </w:r>
          </w:p>
        </w:tc>
      </w:tr>
      <w:tr w:rsidTr="00D858B5">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BodyText"/>
              <w:rPr>
                <w:lang w:val="en-NZ"/>
              </w:rPr>
            </w:pPr>
            <w:r w:rsidRPr="00C83015">
              <w:rPr>
                <w:rStyle w:val="SpecialBold"/>
              </w:rPr>
              <w:t>Pre-start checks</w:t>
            </w:r>
            <w:r w:rsidRPr="00C83015">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015" w:rsidP="00C83015">
            <w:pPr>
              <w:pStyle w:val="ListBullet"/>
            </w:pPr>
            <w:r w:rsidRPr="00C83015">
              <w:t>detection of conditions that are unusual</w:t>
            </w:r>
          </w:p>
          <w:p w:rsidR="00000000" w:rsidRPr="00C83015" w:rsidP="00C83015">
            <w:pPr>
              <w:pStyle w:val="ListBullet"/>
            </w:pPr>
            <w:r w:rsidRPr="00C83015">
              <w:t>personnel availability</w:t>
            </w:r>
          </w:p>
          <w:p w:rsidR="00000000" w:rsidRPr="00C83015" w:rsidP="00C83015">
            <w:pPr>
              <w:pStyle w:val="ListBullet"/>
            </w:pPr>
            <w:r w:rsidRPr="00C83015">
              <w:t>job requirements</w:t>
            </w:r>
          </w:p>
          <w:p w:rsidR="00000000" w:rsidP="00C83015">
            <w:pPr>
              <w:pStyle w:val="ListBullet"/>
              <w:rPr>
                <w:lang w:val="en-NZ"/>
              </w:rPr>
            </w:pPr>
            <w:r w:rsidRPr="00C83015">
              <w:t>walk through plant</w:t>
            </w:r>
          </w:p>
        </w:tc>
      </w:tr>
      <w:tr w:rsidTr="00D858B5">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BodyText"/>
              <w:rPr>
                <w:lang w:val="en-NZ"/>
              </w:rPr>
            </w:pPr>
            <w:r w:rsidRPr="00C83015">
              <w:rPr>
                <w:rStyle w:val="SpecialBold"/>
              </w:rPr>
              <w:t>Environmental issues</w:t>
            </w:r>
            <w:r w:rsidRPr="00C83015">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015" w:rsidP="00C83015">
            <w:pPr>
              <w:pStyle w:val="ListBullet"/>
            </w:pPr>
            <w:r w:rsidRPr="00C83015">
              <w:t>drainage</w:t>
            </w:r>
          </w:p>
          <w:p w:rsidR="00000000" w:rsidRPr="00C83015" w:rsidP="00C83015">
            <w:pPr>
              <w:pStyle w:val="ListBullet"/>
            </w:pPr>
            <w:r w:rsidRPr="00C83015">
              <w:t>dust (dump)</w:t>
            </w:r>
          </w:p>
          <w:p w:rsidR="00000000" w:rsidRPr="00C83015" w:rsidP="00C83015">
            <w:pPr>
              <w:pStyle w:val="ListBullet"/>
            </w:pPr>
            <w:r w:rsidRPr="00C83015">
              <w:t>emissions</w:t>
            </w:r>
          </w:p>
          <w:p w:rsidR="00000000" w:rsidRPr="00C83015" w:rsidP="00C83015">
            <w:pPr>
              <w:pStyle w:val="ListBullet"/>
            </w:pPr>
            <w:r w:rsidRPr="00C83015">
              <w:t>flora and fauna</w:t>
            </w:r>
          </w:p>
          <w:p w:rsidR="00000000" w:rsidRPr="00C83015" w:rsidP="00C83015">
            <w:pPr>
              <w:pStyle w:val="ListBullet"/>
            </w:pPr>
            <w:r w:rsidRPr="00C83015">
              <w:t>hazardous chemicals</w:t>
            </w:r>
          </w:p>
          <w:p w:rsidR="00000000" w:rsidRPr="00C83015" w:rsidP="00C83015">
            <w:pPr>
              <w:pStyle w:val="ListBullet"/>
            </w:pPr>
            <w:r w:rsidRPr="00C83015">
              <w:t>noise</w:t>
            </w:r>
          </w:p>
          <w:p w:rsidR="00000000" w:rsidRPr="00C83015" w:rsidP="00C83015">
            <w:pPr>
              <w:pStyle w:val="ListBullet"/>
            </w:pPr>
            <w:r w:rsidRPr="00C83015">
              <w:t>recycling</w:t>
            </w:r>
          </w:p>
          <w:p w:rsidR="00000000" w:rsidRPr="00C83015" w:rsidP="00C83015">
            <w:pPr>
              <w:pStyle w:val="ListBullet"/>
            </w:pPr>
            <w:r w:rsidRPr="00C83015">
              <w:t>run-off/spills</w:t>
            </w:r>
          </w:p>
          <w:p w:rsidR="00000000" w:rsidRPr="00C83015" w:rsidP="00C83015">
            <w:pPr>
              <w:pStyle w:val="ListBullet"/>
            </w:pPr>
            <w:r w:rsidRPr="00C83015">
              <w:t>waste management and disposal</w:t>
            </w:r>
          </w:p>
          <w:p w:rsidR="00000000" w:rsidP="00C83015">
            <w:pPr>
              <w:pStyle w:val="ListBullet"/>
              <w:rPr>
                <w:lang w:val="en-NZ"/>
              </w:rPr>
            </w:pPr>
            <w:r w:rsidRPr="00C83015">
              <w:t>water quality</w:t>
            </w:r>
          </w:p>
        </w:tc>
      </w:tr>
      <w:tr w:rsidTr="00D858B5">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BodyText"/>
              <w:rPr>
                <w:lang w:val="en-NZ"/>
              </w:rPr>
            </w:pPr>
            <w:r w:rsidRPr="00C83015">
              <w:rPr>
                <w:rStyle w:val="SpecialBold"/>
              </w:rPr>
              <w:t>Monitoring</w:t>
            </w:r>
            <w:r w:rsidRPr="00C83015">
              <w:t xml:space="preserve"> the acid plant process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015" w:rsidP="00C83015">
            <w:pPr>
              <w:pStyle w:val="ListBullet"/>
            </w:pPr>
            <w:r w:rsidRPr="00C83015">
              <w:t>gas temperatures</w:t>
            </w:r>
          </w:p>
          <w:p w:rsidR="00000000" w:rsidRPr="00C83015" w:rsidP="00C83015">
            <w:pPr>
              <w:pStyle w:val="ListBullet"/>
            </w:pPr>
            <w:r w:rsidRPr="00C83015">
              <w:t>blockages and spillages</w:t>
            </w:r>
          </w:p>
          <w:p w:rsidR="00000000" w:rsidRPr="00C83015" w:rsidP="00C83015">
            <w:pPr>
              <w:pStyle w:val="ListBullet"/>
            </w:pPr>
            <w:r w:rsidRPr="00C83015">
              <w:t>feed rates</w:t>
            </w:r>
          </w:p>
          <w:p w:rsidR="00000000" w:rsidRPr="00C83015" w:rsidP="00C83015">
            <w:pPr>
              <w:pStyle w:val="ListBullet"/>
            </w:pPr>
            <w:r w:rsidRPr="00C83015">
              <w:t>calcine content</w:t>
            </w:r>
          </w:p>
          <w:p w:rsidR="00000000" w:rsidRPr="00C83015" w:rsidP="00C83015">
            <w:pPr>
              <w:pStyle w:val="ListBullet"/>
            </w:pPr>
            <w:r w:rsidRPr="00C83015">
              <w:t>mercury levels/moisture levels</w:t>
            </w:r>
          </w:p>
          <w:p w:rsidR="00000000" w:rsidRPr="00C83015" w:rsidP="00C83015">
            <w:pPr>
              <w:pStyle w:val="ListBullet"/>
            </w:pPr>
            <w:r w:rsidRPr="00C83015">
              <w:t>on stream analysis (OSA)</w:t>
            </w:r>
          </w:p>
          <w:p w:rsidR="00000000" w:rsidRPr="00C83015" w:rsidP="00C83015">
            <w:pPr>
              <w:pStyle w:val="ListBullet"/>
            </w:pPr>
            <w:r w:rsidRPr="00C83015">
              <w:t>overloads/pressures</w:t>
            </w:r>
          </w:p>
          <w:p w:rsidR="00000000" w:rsidRPr="00C83015" w:rsidP="00C83015">
            <w:pPr>
              <w:pStyle w:val="ListBullet"/>
            </w:pPr>
            <w:r w:rsidRPr="00C83015">
              <w:t>power draw</w:t>
            </w:r>
          </w:p>
          <w:p w:rsidR="00000000" w:rsidRPr="00C83015" w:rsidP="00C83015">
            <w:pPr>
              <w:pStyle w:val="ListBullet"/>
            </w:pPr>
            <w:r w:rsidRPr="00C83015">
              <w:t>equipment temperature</w:t>
            </w:r>
          </w:p>
          <w:p w:rsidR="00000000" w:rsidRPr="00C83015" w:rsidP="00C83015">
            <w:pPr>
              <w:pStyle w:val="ListBullet"/>
            </w:pPr>
            <w:r w:rsidRPr="00C83015">
              <w:t>wear and tear</w:t>
            </w:r>
          </w:p>
          <w:p w:rsidR="00000000" w:rsidRPr="00C83015" w:rsidP="00C83015">
            <w:pPr>
              <w:pStyle w:val="ListBullet"/>
            </w:pPr>
            <w:r w:rsidRPr="00C83015">
              <w:t>emission (e.g. sulphide gases)</w:t>
            </w:r>
          </w:p>
          <w:p w:rsidR="00000000" w:rsidRPr="00C83015" w:rsidP="00C83015">
            <w:pPr>
              <w:pStyle w:val="ListBullet"/>
            </w:pPr>
            <w:r w:rsidRPr="00C83015">
              <w:t>laboratory results</w:t>
            </w:r>
          </w:p>
          <w:p w:rsidR="00000000" w:rsidRPr="00C83015" w:rsidP="00C83015">
            <w:pPr>
              <w:pStyle w:val="ListBullet"/>
            </w:pPr>
            <w:r w:rsidRPr="00C83015">
              <w:t>acid strength</w:t>
            </w:r>
          </w:p>
          <w:p w:rsidR="00000000" w:rsidP="00C83015">
            <w:pPr>
              <w:pStyle w:val="ListBullet"/>
              <w:rPr>
                <w:lang w:val="en-NZ"/>
              </w:rPr>
            </w:pPr>
            <w:r w:rsidRPr="00C83015">
              <w:t>gas analysis</w:t>
            </w:r>
          </w:p>
        </w:tc>
      </w:tr>
      <w:tr w:rsidTr="00D858B5">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015">
            <w:pPr>
              <w:pStyle w:val="BodyText"/>
              <w:rPr>
                <w:lang w:val="en-NZ"/>
              </w:rPr>
            </w:pPr>
            <w:r w:rsidRPr="00C83015">
              <w:rPr>
                <w:rStyle w:val="SpecialBold"/>
              </w:rPr>
              <w:t>Plant</w:t>
            </w:r>
            <w:r w:rsidRPr="00C83015">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015" w:rsidP="00C83015">
            <w:pPr>
              <w:pStyle w:val="ListBullet"/>
            </w:pPr>
            <w:r w:rsidRPr="00C83015">
              <w:t>heat exchanger</w:t>
            </w:r>
          </w:p>
          <w:p w:rsidR="00000000" w:rsidRPr="00C83015" w:rsidP="00C83015">
            <w:pPr>
              <w:pStyle w:val="ListBullet"/>
            </w:pPr>
            <w:r w:rsidRPr="00C83015">
              <w:t>storage facilities</w:t>
            </w:r>
          </w:p>
          <w:p w:rsidR="00000000" w:rsidRPr="00C83015" w:rsidP="00C83015">
            <w:pPr>
              <w:pStyle w:val="ListBullet"/>
            </w:pPr>
            <w:r w:rsidRPr="00C83015">
              <w:t>pipelines</w:t>
            </w:r>
          </w:p>
          <w:p w:rsidR="00000000" w:rsidRPr="00C83015" w:rsidP="00C83015">
            <w:pPr>
              <w:pStyle w:val="ListBullet"/>
            </w:pPr>
            <w:r w:rsidRPr="00C83015">
              <w:t>electrostatic mist precipitators</w:t>
            </w:r>
          </w:p>
          <w:p w:rsidR="00000000" w:rsidRPr="00C83015" w:rsidP="00C83015">
            <w:pPr>
              <w:pStyle w:val="ListBullet"/>
            </w:pPr>
            <w:r w:rsidRPr="00C83015">
              <w:t>gas train</w:t>
            </w:r>
          </w:p>
          <w:p w:rsidR="00000000" w:rsidRPr="00C83015" w:rsidP="00C83015">
            <w:pPr>
              <w:pStyle w:val="ListBullet"/>
            </w:pPr>
            <w:r w:rsidRPr="00C83015">
              <w:t>vessels</w:t>
            </w:r>
          </w:p>
          <w:p w:rsidR="00000000" w:rsidRPr="00C83015" w:rsidP="00C83015">
            <w:pPr>
              <w:pStyle w:val="ListBullet"/>
            </w:pPr>
            <w:r w:rsidRPr="00C83015">
              <w:t>conveyors</w:t>
            </w:r>
          </w:p>
          <w:p w:rsidR="00000000" w:rsidRPr="00C83015" w:rsidP="00C83015">
            <w:pPr>
              <w:pStyle w:val="ListBullet"/>
            </w:pPr>
            <w:r w:rsidRPr="00C83015">
              <w:t>valves</w:t>
            </w:r>
          </w:p>
          <w:p w:rsidR="00000000" w:rsidRPr="00C83015" w:rsidP="00C83015">
            <w:pPr>
              <w:pStyle w:val="ListBullet"/>
            </w:pPr>
            <w:r w:rsidRPr="00C83015">
              <w:t>acid heat exchanges</w:t>
            </w:r>
          </w:p>
          <w:p w:rsidR="00000000" w:rsidRPr="00C83015" w:rsidP="00C83015">
            <w:pPr>
              <w:pStyle w:val="ListBullet"/>
            </w:pPr>
            <w:r w:rsidRPr="00C83015">
              <w:t>converters</w:t>
            </w:r>
          </w:p>
          <w:p w:rsidR="00000000" w:rsidRPr="00C83015" w:rsidP="00C83015">
            <w:pPr>
              <w:pStyle w:val="ListBullet"/>
            </w:pPr>
            <w:r w:rsidRPr="00C83015">
              <w:t>absorbing and drying towers</w:t>
            </w:r>
          </w:p>
          <w:p w:rsidR="00000000" w:rsidRPr="00C83015" w:rsidP="00C83015">
            <w:pPr>
              <w:pStyle w:val="ListBullet"/>
            </w:pPr>
            <w:r w:rsidRPr="00C83015">
              <w:t>mercury removal plant</w:t>
            </w:r>
          </w:p>
        </w:tc>
      </w:tr>
    </w:tbl>
    <w:p w:rsidR="00000000" w:rsidRPr="00C83015" w:rsidP="00C83015">
      <w:pPr>
        <w:pStyle w:val="BodyText"/>
      </w:pPr>
    </w:p>
    <w:p w:rsidR="00000000" w:rsidRPr="00C83015" w:rsidP="00C83015">
      <w:pPr>
        <w:pStyle w:val="AllowPageBreak"/>
      </w:pPr>
    </w:p>
    <w:p w:rsidR="00000000" w:rsidRPr="00C83015" w:rsidP="00C83015">
      <w:pPr>
        <w:pStyle w:val="Heading1"/>
      </w:pPr>
      <w:bookmarkStart w:id="12" w:name="O_132962"/>
      <w:bookmarkEnd w:id="12"/>
      <w:r w:rsidRPr="00C83015">
        <w:t>Unit Sector(s)</w:t>
      </w:r>
    </w:p>
    <w:p w:rsidR="00000000" w:rsidRPr="00C83015" w:rsidP="00C83015">
      <w:pPr>
        <w:pStyle w:val="BodyText"/>
      </w:pPr>
      <w:r w:rsidRPr="00C83015">
        <w:t xml:space="preserve">Processing </w:t>
      </w:r>
    </w:p>
    <w:p w:rsidR="00000000" w:rsidRPr="00C83015" w:rsidP="00C83015">
      <w:pPr>
        <w:pStyle w:val="AllowPageBreak"/>
      </w:pPr>
    </w:p>
    <w:p w:rsidR="00000000" w:rsidRPr="00C83015" w:rsidP="00C83015">
      <w:pPr>
        <w:pStyle w:val="Heading1"/>
      </w:pPr>
      <w:bookmarkStart w:id="13" w:name="O_161947"/>
      <w:bookmarkEnd w:id="13"/>
      <w:r w:rsidRPr="00C83015">
        <w:t>Competency field</w:t>
      </w:r>
    </w:p>
    <w:p w:rsidR="00000000" w:rsidRPr="00C83015" w:rsidP="00C83015">
      <w:pPr>
        <w:pStyle w:val="BodyText"/>
      </w:pPr>
      <w:r w:rsidRPr="00C83015">
        <w:t>Refer to Unit Sector(s).</w:t>
      </w:r>
    </w:p>
    <w:p w:rsidR="00000000" w:rsidRPr="00C83015" w:rsidP="00C83015">
      <w:pPr>
        <w:pStyle w:val="AllowPageBreak"/>
      </w:pPr>
    </w:p>
    <w:p w:rsidR="00000000" w:rsidRPr="00C83015" w:rsidP="00C83015">
      <w:pPr>
        <w:pStyle w:val="Heading1"/>
      </w:pPr>
      <w:bookmarkStart w:id="14" w:name="O_161946"/>
      <w:bookmarkEnd w:id="14"/>
      <w:r w:rsidRPr="00C83015">
        <w:t>Co-requisite units</w:t>
      </w:r>
    </w:p>
    <w:p w:rsidR="00000000" w:rsidRPr="00C83015" w:rsidP="00C83015">
      <w:pPr>
        <w:pStyle w:val="BodyText"/>
      </w:pPr>
      <w:r w:rsidRPr="00C83015">
        <w:t>Not applicable.</w:t>
      </w:r>
    </w:p>
    <w:p w:rsidR="00000000" w:rsidRPr="00C83015" w:rsidP="00C83015"/>
    <w:sectPr w:rsidSect="00C830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58B5" w:rsidP="00D858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8B5" w:rsidP="00C830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58B5" w:rsidP="00C830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858B5" w:rsidP="00C830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58B5" w:rsidP="00D858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8B5" w:rsidP="00C83015">
    <w:pPr>
      <w:pStyle w:val="Header"/>
      <w:framePr w:wrap="around"/>
    </w:pPr>
    <w:r>
      <w:fldChar w:fldCharType="begin"/>
    </w:r>
    <w:r>
      <w:instrText xml:space="preserve"> TITLE   \* MERGEFORMAT </w:instrText>
    </w:r>
    <w:r>
      <w:fldChar w:fldCharType="separate"/>
    </w:r>
    <w:r>
      <w:t>RIIPBP302A Control operations in acid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58B5" w:rsidP="00C830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0A30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E68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1C76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0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3015"/>
    <w:pPr>
      <w:spacing w:before="360" w:after="60"/>
      <w:outlineLvl w:val="0"/>
    </w:pPr>
    <w:rPr>
      <w:sz w:val="32"/>
    </w:rPr>
  </w:style>
  <w:style w:type="paragraph" w:styleId="Heading2">
    <w:name w:val="heading 2"/>
    <w:basedOn w:val="HeadingBase"/>
    <w:next w:val="BodyText"/>
    <w:link w:val="Heading2Char"/>
    <w:qFormat/>
    <w:rsid w:val="00C83015"/>
    <w:pPr>
      <w:keepLines/>
      <w:spacing w:before="240" w:after="120"/>
      <w:outlineLvl w:val="1"/>
    </w:pPr>
    <w:rPr>
      <w:sz w:val="28"/>
      <w:szCs w:val="40"/>
    </w:rPr>
  </w:style>
  <w:style w:type="paragraph" w:styleId="Heading3">
    <w:name w:val="heading 3"/>
    <w:basedOn w:val="HeadingBase"/>
    <w:next w:val="BodyText"/>
    <w:link w:val="Heading3Char"/>
    <w:qFormat/>
    <w:rsid w:val="00C83015"/>
    <w:pPr>
      <w:spacing w:before="180" w:after="120"/>
      <w:outlineLvl w:val="2"/>
    </w:pPr>
    <w:rPr>
      <w:spacing w:val="-10"/>
      <w:kern w:val="32"/>
    </w:rPr>
  </w:style>
  <w:style w:type="paragraph" w:styleId="Heading4">
    <w:name w:val="heading 4"/>
    <w:basedOn w:val="HeadingBase"/>
    <w:next w:val="BodyText"/>
    <w:link w:val="Heading4Char"/>
    <w:qFormat/>
    <w:rsid w:val="00C83015"/>
    <w:pPr>
      <w:spacing w:before="160" w:after="120"/>
      <w:outlineLvl w:val="3"/>
    </w:pPr>
    <w:rPr>
      <w:sz w:val="22"/>
    </w:rPr>
  </w:style>
  <w:style w:type="paragraph" w:styleId="Heading5">
    <w:name w:val="heading 5"/>
    <w:basedOn w:val="HeadingBase"/>
    <w:next w:val="Normal"/>
    <w:link w:val="Heading5Char"/>
    <w:qFormat/>
    <w:rsid w:val="00C83015"/>
    <w:pPr>
      <w:spacing w:before="80"/>
      <w:outlineLvl w:val="4"/>
    </w:pPr>
    <w:rPr>
      <w:color w:val="918585"/>
      <w:sz w:val="20"/>
    </w:rPr>
  </w:style>
  <w:style w:type="paragraph" w:styleId="Heading6">
    <w:name w:val="heading 6"/>
    <w:basedOn w:val="HeadingBase"/>
    <w:next w:val="Normal"/>
    <w:link w:val="Heading6Char"/>
    <w:qFormat/>
    <w:rsid w:val="00C83015"/>
    <w:pPr>
      <w:spacing w:before="60"/>
      <w:outlineLvl w:val="5"/>
    </w:pPr>
    <w:rPr>
      <w:color w:val="918585"/>
      <w:sz w:val="20"/>
    </w:rPr>
  </w:style>
  <w:style w:type="paragraph" w:styleId="Heading7">
    <w:name w:val="heading 7"/>
    <w:basedOn w:val="Normal"/>
    <w:next w:val="Normal"/>
    <w:link w:val="Heading7Char"/>
    <w:qFormat/>
    <w:rsid w:val="00C83015"/>
    <w:pPr>
      <w:ind w:left="720"/>
      <w:outlineLvl w:val="6"/>
    </w:pPr>
    <w:rPr>
      <w:i/>
    </w:rPr>
  </w:style>
  <w:style w:type="paragraph" w:styleId="Heading8">
    <w:name w:val="heading 8"/>
    <w:basedOn w:val="Normal"/>
    <w:next w:val="Normal"/>
    <w:link w:val="Heading8Char"/>
    <w:qFormat/>
    <w:rsid w:val="00C83015"/>
    <w:pPr>
      <w:ind w:left="720"/>
      <w:outlineLvl w:val="7"/>
    </w:pPr>
    <w:rPr>
      <w:i/>
    </w:rPr>
  </w:style>
  <w:style w:type="paragraph" w:styleId="Heading9">
    <w:name w:val="heading 9"/>
    <w:basedOn w:val="Normal"/>
    <w:next w:val="Normal"/>
    <w:link w:val="Heading9Char"/>
    <w:qFormat/>
    <w:rsid w:val="00C83015"/>
    <w:pPr>
      <w:ind w:left="720"/>
      <w:outlineLvl w:val="8"/>
    </w:pPr>
    <w:rPr>
      <w:i/>
    </w:rPr>
  </w:style>
  <w:style w:type="character" w:default="1" w:styleId="DefaultParagraphFont">
    <w:name w:val="Default Paragraph Font"/>
    <w:uiPriority w:val="1"/>
    <w:unhideWhenUsed/>
    <w:rsid w:val="00C830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015"/>
  </w:style>
  <w:style w:type="character" w:customStyle="1" w:styleId="Heading1Char">
    <w:name w:val="Heading 1 Char"/>
    <w:basedOn w:val="DefaultParagraphFont"/>
    <w:link w:val="Heading1"/>
    <w:rsid w:val="00C83015"/>
    <w:rPr>
      <w:rFonts w:ascii="Times New Roman" w:eastAsia="Times New Roman" w:hAnsi="Times New Roman" w:cs="Times New Roman"/>
      <w:b/>
      <w:sz w:val="32"/>
      <w:szCs w:val="20"/>
      <w:lang w:eastAsia="en-US"/>
    </w:rPr>
  </w:style>
  <w:style w:type="paragraph" w:styleId="BodyText">
    <w:name w:val="Body Text"/>
    <w:basedOn w:val="Normal"/>
    <w:link w:val="BodyTextChar"/>
    <w:rsid w:val="00C830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3015"/>
    <w:rPr>
      <w:rFonts w:ascii="Times New Roman" w:eastAsia="Times New Roman" w:hAnsi="Times New Roman" w:cs="Times New Roman"/>
      <w:sz w:val="24"/>
      <w:lang w:val="en-US" w:eastAsia="en-US"/>
    </w:rPr>
  </w:style>
  <w:style w:type="paragraph" w:styleId="Footer">
    <w:name w:val="footer"/>
    <w:basedOn w:val="Normal"/>
    <w:link w:val="FooterChar"/>
    <w:rsid w:val="00C830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015"/>
    <w:rPr>
      <w:rFonts w:ascii="Times New Roman" w:eastAsia="Times New Roman" w:hAnsi="Times New Roman" w:cs="Times New Roman"/>
      <w:sz w:val="16"/>
      <w:lang w:val="en-US" w:eastAsia="en-US"/>
    </w:rPr>
  </w:style>
  <w:style w:type="paragraph" w:styleId="List">
    <w:name w:val="List"/>
    <w:basedOn w:val="BodyText"/>
    <w:next w:val="BodyText"/>
    <w:rsid w:val="00C83015"/>
    <w:pPr>
      <w:tabs>
        <w:tab w:val="left" w:pos="340"/>
      </w:tabs>
      <w:spacing w:before="60" w:after="60"/>
      <w:ind w:left="340" w:hanging="340"/>
    </w:pPr>
  </w:style>
  <w:style w:type="paragraph" w:styleId="ListBullet">
    <w:name w:val="List Bullet"/>
    <w:basedOn w:val="List"/>
    <w:rsid w:val="00C83015"/>
    <w:pPr>
      <w:numPr>
        <w:numId w:val="13"/>
      </w:numPr>
      <w:tabs>
        <w:tab w:val="clear" w:pos="340"/>
      </w:tabs>
      <w:spacing w:before="40" w:after="40"/>
    </w:pPr>
  </w:style>
  <w:style w:type="character" w:customStyle="1" w:styleId="SpecialBold">
    <w:name w:val="Special Bold"/>
    <w:basedOn w:val="DefaultParagraphFont"/>
    <w:rsid w:val="00C83015"/>
    <w:rPr>
      <w:b/>
      <w:spacing w:val="0"/>
    </w:rPr>
  </w:style>
  <w:style w:type="paragraph" w:styleId="ListBullet2">
    <w:name w:val="List Bullet 2"/>
    <w:basedOn w:val="List2"/>
    <w:rsid w:val="00C83015"/>
    <w:pPr>
      <w:numPr>
        <w:numId w:val="14"/>
      </w:numPr>
      <w:tabs>
        <w:tab w:val="clear" w:pos="680"/>
      </w:tabs>
    </w:pPr>
  </w:style>
  <w:style w:type="paragraph" w:styleId="Header">
    <w:name w:val="header"/>
    <w:basedOn w:val="Normal"/>
    <w:link w:val="HeaderChar"/>
    <w:rsid w:val="00C830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01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83015"/>
    <w:rPr>
      <w:i/>
    </w:rPr>
  </w:style>
  <w:style w:type="paragraph" w:customStyle="1" w:styleId="SuperHeading">
    <w:name w:val="SuperHeading"/>
    <w:basedOn w:val="Normal"/>
    <w:rsid w:val="00C83015"/>
    <w:pPr>
      <w:spacing w:before="240" w:after="120"/>
      <w:outlineLvl w:val="0"/>
    </w:pPr>
    <w:rPr>
      <w:rFonts w:ascii="Times New Roman" w:hAnsi="Times New Roman"/>
      <w:b/>
      <w:sz w:val="28"/>
    </w:rPr>
  </w:style>
  <w:style w:type="paragraph" w:customStyle="1" w:styleId="AllowPageBreak">
    <w:name w:val="AllowPageBreak"/>
    <w:rsid w:val="00C830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3015"/>
    <w:pPr>
      <w:tabs>
        <w:tab w:val="left" w:pos="680"/>
      </w:tabs>
      <w:spacing w:before="60" w:after="60"/>
      <w:ind w:left="680" w:hanging="340"/>
    </w:pPr>
  </w:style>
  <w:style w:type="character" w:customStyle="1" w:styleId="BoldandItalics">
    <w:name w:val="Bold and Italics"/>
    <w:qFormat/>
    <w:rsid w:val="00C83015"/>
    <w:rPr>
      <w:b/>
      <w:i/>
      <w:u w:val="none"/>
    </w:rPr>
  </w:style>
  <w:style w:type="character" w:customStyle="1" w:styleId="Heading2Char">
    <w:name w:val="Heading 2 Char"/>
    <w:basedOn w:val="DefaultParagraphFont"/>
    <w:link w:val="Heading2"/>
    <w:rsid w:val="00C830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0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0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0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0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0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30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3015"/>
    <w:rPr>
      <w:rFonts w:ascii="Courier New" w:eastAsia="Times New Roman" w:hAnsi="Courier New" w:cs="Times New Roman"/>
      <w:i/>
      <w:szCs w:val="20"/>
      <w:lang w:val="en-US" w:eastAsia="en-US"/>
    </w:rPr>
  </w:style>
  <w:style w:type="paragraph" w:customStyle="1" w:styleId="HeadingBase">
    <w:name w:val="Heading Base"/>
    <w:rsid w:val="00C830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015"/>
    <w:pPr>
      <w:tabs>
        <w:tab w:val="right" w:leader="dot" w:pos="9072"/>
      </w:tabs>
      <w:ind w:left="567"/>
    </w:pPr>
    <w:rPr>
      <w:szCs w:val="22"/>
    </w:rPr>
  </w:style>
  <w:style w:type="paragraph" w:customStyle="1" w:styleId="TOCBase">
    <w:name w:val="TOC Base"/>
    <w:rsid w:val="00C830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015"/>
    <w:pPr>
      <w:tabs>
        <w:tab w:val="right" w:leader="dot" w:pos="9072"/>
      </w:tabs>
      <w:spacing w:before="40" w:after="40"/>
      <w:ind w:left="284"/>
    </w:pPr>
    <w:rPr>
      <w:rFonts w:ascii="Times New Roman" w:hAnsi="Times New Roman"/>
    </w:rPr>
  </w:style>
  <w:style w:type="paragraph" w:styleId="TOC1">
    <w:name w:val="toc 1"/>
    <w:basedOn w:val="TOCBase"/>
    <w:next w:val="Normal"/>
    <w:rsid w:val="00C830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3015"/>
    <w:pPr>
      <w:spacing w:before="5040"/>
      <w:jc w:val="center"/>
    </w:pPr>
    <w:rPr>
      <w:sz w:val="48"/>
      <w:szCs w:val="72"/>
      <w:lang w:val="en-US"/>
    </w:rPr>
  </w:style>
  <w:style w:type="character" w:customStyle="1" w:styleId="TitleChar">
    <w:name w:val="Title Char"/>
    <w:basedOn w:val="DefaultParagraphFont"/>
    <w:link w:val="Title"/>
    <w:rsid w:val="00C830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015"/>
    <w:pPr>
      <w:tabs>
        <w:tab w:val="left" w:pos="3600"/>
        <w:tab w:val="left" w:pos="3958"/>
      </w:tabs>
    </w:pPr>
  </w:style>
  <w:style w:type="paragraph" w:customStyle="1" w:styleId="Note">
    <w:name w:val="Note"/>
    <w:basedOn w:val="BodyText"/>
    <w:rsid w:val="00C830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015"/>
    <w:pPr>
      <w:framePr w:wrap="auto" w:hAnchor="text" w:y="6049"/>
    </w:pPr>
    <w:rPr>
      <w:color w:val="000000"/>
      <w:sz w:val="40"/>
    </w:rPr>
  </w:style>
  <w:style w:type="paragraph" w:customStyle="1" w:styleId="TOCTitle">
    <w:name w:val="TOCTitle"/>
    <w:basedOn w:val="Heading1"/>
    <w:rsid w:val="00C83015"/>
    <w:pPr>
      <w:spacing w:after="240"/>
      <w:jc w:val="center"/>
      <w:outlineLvl w:val="9"/>
    </w:pPr>
    <w:rPr>
      <w:caps/>
    </w:rPr>
  </w:style>
  <w:style w:type="paragraph" w:customStyle="1" w:styleId="Version">
    <w:name w:val="Version"/>
    <w:rsid w:val="00C830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015"/>
    <w:pPr>
      <w:keepNext w:val="0"/>
      <w:tabs>
        <w:tab w:val="right" w:pos="4176"/>
      </w:tabs>
      <w:ind w:left="198" w:hanging="198"/>
    </w:pPr>
    <w:rPr>
      <w:rFonts w:ascii="Garamond" w:hAnsi="Garamond"/>
    </w:rPr>
  </w:style>
  <w:style w:type="paragraph" w:styleId="IndexHeading">
    <w:name w:val="index heading"/>
    <w:basedOn w:val="Normal"/>
    <w:next w:val="Index1"/>
    <w:semiHidden/>
    <w:rsid w:val="00C83015"/>
    <w:pPr>
      <w:spacing w:before="120" w:after="120"/>
    </w:pPr>
    <w:rPr>
      <w:rFonts w:ascii="Arial" w:hAnsi="Arial"/>
      <w:b/>
      <w:color w:val="918585"/>
      <w:sz w:val="24"/>
    </w:rPr>
  </w:style>
  <w:style w:type="paragraph" w:customStyle="1" w:styleId="Chapter">
    <w:name w:val="Chapter"/>
    <w:basedOn w:val="Normal"/>
    <w:rsid w:val="00C83015"/>
    <w:pPr>
      <w:spacing w:before="240"/>
    </w:pPr>
    <w:rPr>
      <w:rFonts w:ascii="Times New Roman" w:hAnsi="Times New Roman"/>
      <w:smallCaps/>
      <w:spacing w:val="80"/>
      <w:sz w:val="28"/>
    </w:rPr>
  </w:style>
  <w:style w:type="paragraph" w:customStyle="1" w:styleId="InChapter">
    <w:name w:val="InChapter"/>
    <w:basedOn w:val="Heading3"/>
    <w:rsid w:val="00C83015"/>
    <w:pPr>
      <w:spacing w:after="240"/>
      <w:outlineLvl w:val="9"/>
    </w:pPr>
    <w:rPr>
      <w:noProof/>
    </w:rPr>
  </w:style>
  <w:style w:type="paragraph" w:styleId="Index2">
    <w:name w:val="index 2"/>
    <w:basedOn w:val="Normal"/>
    <w:next w:val="Normal"/>
    <w:semiHidden/>
    <w:rsid w:val="00C83015"/>
    <w:pPr>
      <w:tabs>
        <w:tab w:val="right" w:pos="4176"/>
      </w:tabs>
      <w:ind w:left="568" w:hanging="284"/>
    </w:pPr>
    <w:rPr>
      <w:rFonts w:ascii="Garamond" w:hAnsi="Garamond"/>
    </w:rPr>
  </w:style>
  <w:style w:type="paragraph" w:customStyle="1" w:styleId="Byline">
    <w:name w:val="Byline"/>
    <w:rsid w:val="00C830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015"/>
    <w:pPr>
      <w:tabs>
        <w:tab w:val="clear" w:pos="3600"/>
        <w:tab w:val="clear" w:pos="3958"/>
      </w:tabs>
      <w:jc w:val="right"/>
    </w:pPr>
  </w:style>
  <w:style w:type="paragraph" w:styleId="Caption">
    <w:name w:val="caption"/>
    <w:basedOn w:val="BodyText"/>
    <w:next w:val="Normal"/>
    <w:qFormat/>
    <w:rsid w:val="00C83015"/>
    <w:pPr>
      <w:framePr w:w="2268" w:hSpace="181" w:vSpace="181" w:wrap="around" w:vAnchor="text" w:hAnchor="page" w:x="1135" w:y="285" w:anchorLock="1"/>
    </w:pPr>
    <w:rPr>
      <w:i/>
    </w:rPr>
  </w:style>
  <w:style w:type="paragraph" w:customStyle="1" w:styleId="MiniTOCTitle">
    <w:name w:val="MiniTOCTitle"/>
    <w:basedOn w:val="Heading4"/>
    <w:rsid w:val="00C83015"/>
    <w:pPr>
      <w:spacing w:before="240"/>
      <w:outlineLvl w:val="9"/>
    </w:pPr>
    <w:rPr>
      <w:noProof/>
      <w:sz w:val="24"/>
    </w:rPr>
  </w:style>
  <w:style w:type="paragraph" w:customStyle="1" w:styleId="MiniTOCItem">
    <w:name w:val="MiniTOCItem"/>
    <w:basedOn w:val="ListBullet"/>
    <w:rsid w:val="00C83015"/>
    <w:pPr>
      <w:numPr>
        <w:numId w:val="0"/>
      </w:numPr>
      <w:tabs>
        <w:tab w:val="right" w:leader="dot" w:pos="6521"/>
      </w:tabs>
      <w:spacing w:before="0" w:after="0"/>
    </w:pPr>
  </w:style>
  <w:style w:type="paragraph" w:customStyle="1" w:styleId="TOFTitle">
    <w:name w:val="TOFTitle"/>
    <w:basedOn w:val="TOCTitle"/>
    <w:rsid w:val="00C83015"/>
  </w:style>
  <w:style w:type="paragraph" w:styleId="TableofFigures">
    <w:name w:val="table of figures"/>
    <w:basedOn w:val="Normal"/>
    <w:next w:val="Normal"/>
    <w:semiHidden/>
    <w:rsid w:val="00C83015"/>
    <w:pPr>
      <w:tabs>
        <w:tab w:val="right" w:leader="dot" w:pos="9072"/>
      </w:tabs>
      <w:ind w:left="970" w:hanging="403"/>
    </w:pPr>
    <w:rPr>
      <w:rFonts w:ascii="Times New Roman" w:hAnsi="Times New Roman"/>
      <w:b/>
    </w:rPr>
  </w:style>
  <w:style w:type="paragraph" w:styleId="ListNumber">
    <w:name w:val="List Number"/>
    <w:basedOn w:val="List"/>
    <w:rsid w:val="00C83015"/>
    <w:pPr>
      <w:numPr>
        <w:numId w:val="11"/>
      </w:numPr>
    </w:pPr>
  </w:style>
  <w:style w:type="character" w:customStyle="1" w:styleId="WingdingSymbols">
    <w:name w:val="Wingding Symbols"/>
    <w:rsid w:val="00C83015"/>
    <w:rPr>
      <w:rFonts w:ascii="Wingdings" w:hAnsi="Wingdings"/>
    </w:rPr>
  </w:style>
  <w:style w:type="paragraph" w:customStyle="1" w:styleId="TableHeading">
    <w:name w:val="Table Heading"/>
    <w:basedOn w:val="HeadingBase"/>
    <w:rsid w:val="00C83015"/>
    <w:pPr>
      <w:keepLines/>
      <w:pBdr>
        <w:bottom w:val="single" w:sz="6" w:space="1" w:color="918585"/>
      </w:pBdr>
      <w:spacing w:before="240"/>
    </w:pPr>
  </w:style>
  <w:style w:type="character" w:customStyle="1" w:styleId="HotSpot">
    <w:name w:val="HotSpot"/>
    <w:rsid w:val="00C83015"/>
    <w:rPr>
      <w:color w:val="0033CC"/>
      <w:u w:val="none"/>
    </w:rPr>
  </w:style>
  <w:style w:type="paragraph" w:customStyle="1" w:styleId="BodyTextRight">
    <w:name w:val="Body Text Right"/>
    <w:basedOn w:val="BodyText"/>
    <w:rsid w:val="00C83015"/>
    <w:pPr>
      <w:spacing w:before="0" w:after="0"/>
      <w:jc w:val="right"/>
    </w:pPr>
  </w:style>
  <w:style w:type="paragraph" w:styleId="Index3">
    <w:name w:val="index 3"/>
    <w:basedOn w:val="ListNumber2"/>
    <w:next w:val="Normal"/>
    <w:semiHidden/>
    <w:rsid w:val="00C83015"/>
    <w:pPr>
      <w:numPr>
        <w:numId w:val="0"/>
      </w:numPr>
      <w:tabs>
        <w:tab w:val="right" w:leader="dot" w:pos="4176"/>
      </w:tabs>
    </w:pPr>
  </w:style>
  <w:style w:type="paragraph" w:styleId="ListNumber2">
    <w:name w:val="List Number 2"/>
    <w:basedOn w:val="List2"/>
    <w:rsid w:val="00C83015"/>
    <w:pPr>
      <w:numPr>
        <w:numId w:val="10"/>
      </w:numPr>
      <w:tabs>
        <w:tab w:val="clear" w:pos="1060"/>
      </w:tabs>
    </w:pPr>
  </w:style>
  <w:style w:type="paragraph" w:customStyle="1" w:styleId="MarginNote">
    <w:name w:val="Margin Note"/>
    <w:basedOn w:val="BodyText"/>
    <w:rsid w:val="00C830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0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0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3015"/>
    <w:rPr>
      <w:sz w:val="32"/>
    </w:rPr>
  </w:style>
  <w:style w:type="paragraph" w:customStyle="1" w:styleId="HeadingProcedure">
    <w:name w:val="Heading Procedure"/>
    <w:basedOn w:val="HeadingBase"/>
    <w:next w:val="Normal"/>
    <w:rsid w:val="00C83015"/>
    <w:pPr>
      <w:tabs>
        <w:tab w:val="left" w:pos="0"/>
      </w:tabs>
      <w:spacing w:before="120" w:after="60"/>
    </w:pPr>
    <w:rPr>
      <w:i/>
      <w:color w:val="918585"/>
      <w:sz w:val="22"/>
    </w:rPr>
  </w:style>
  <w:style w:type="paragraph" w:customStyle="1" w:styleId="TableBodyText">
    <w:name w:val="Table Body Text"/>
    <w:basedOn w:val="BodyText"/>
    <w:rsid w:val="00C83015"/>
    <w:pPr>
      <w:spacing w:before="60" w:after="60"/>
    </w:pPr>
  </w:style>
  <w:style w:type="paragraph" w:styleId="ListContinue">
    <w:name w:val="List Continue"/>
    <w:basedOn w:val="List"/>
    <w:rsid w:val="00C83015"/>
    <w:pPr>
      <w:ind w:firstLine="0"/>
    </w:pPr>
  </w:style>
  <w:style w:type="paragraph" w:customStyle="1" w:styleId="ListNote">
    <w:name w:val="List Note"/>
    <w:basedOn w:val="List"/>
    <w:rsid w:val="00C83015"/>
    <w:pPr>
      <w:pBdr>
        <w:top w:val="single" w:sz="6" w:space="2" w:color="918585"/>
        <w:bottom w:val="single" w:sz="6" w:space="2" w:color="918585"/>
      </w:pBdr>
      <w:tabs>
        <w:tab w:val="left" w:pos="1021"/>
      </w:tabs>
      <w:ind w:firstLine="0"/>
    </w:pPr>
  </w:style>
  <w:style w:type="paragraph" w:customStyle="1" w:styleId="Warning">
    <w:name w:val="Warning"/>
    <w:basedOn w:val="BodyText"/>
    <w:rsid w:val="00C83015"/>
    <w:pPr>
      <w:shd w:val="clear" w:color="auto" w:fill="D9D9D9"/>
      <w:tabs>
        <w:tab w:val="left" w:pos="992"/>
      </w:tabs>
      <w:ind w:left="119" w:right="119"/>
    </w:pPr>
    <w:rPr>
      <w:sz w:val="20"/>
    </w:rPr>
  </w:style>
  <w:style w:type="paragraph" w:customStyle="1" w:styleId="MarginIcons">
    <w:name w:val="Margin Icons"/>
    <w:basedOn w:val="BodyText"/>
    <w:rsid w:val="00C830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015"/>
    <w:rPr>
      <w:rFonts w:ascii="Courier New" w:hAnsi="Courier New"/>
    </w:rPr>
  </w:style>
  <w:style w:type="paragraph" w:customStyle="1" w:styleId="NoteBullet">
    <w:name w:val="Note Bullet"/>
    <w:basedOn w:val="Note"/>
    <w:rsid w:val="00C83015"/>
    <w:pPr>
      <w:tabs>
        <w:tab w:val="clear" w:pos="680"/>
      </w:tabs>
      <w:spacing w:before="60" w:after="60"/>
    </w:pPr>
  </w:style>
  <w:style w:type="paragraph" w:customStyle="1" w:styleId="SubHeading2">
    <w:name w:val="SubHeading2"/>
    <w:basedOn w:val="HeadingBase"/>
    <w:rsid w:val="00C83015"/>
    <w:pPr>
      <w:spacing w:before="240" w:after="60"/>
    </w:pPr>
    <w:rPr>
      <w:sz w:val="20"/>
    </w:rPr>
  </w:style>
  <w:style w:type="paragraph" w:customStyle="1" w:styleId="SubHeading1">
    <w:name w:val="SubHeading1"/>
    <w:basedOn w:val="HeadingBase"/>
    <w:rsid w:val="00C83015"/>
    <w:pPr>
      <w:spacing w:before="240" w:after="60"/>
    </w:pPr>
    <w:rPr>
      <w:color w:val="918585"/>
      <w:sz w:val="22"/>
    </w:rPr>
  </w:style>
  <w:style w:type="paragraph" w:customStyle="1" w:styleId="SideHeading">
    <w:name w:val="Side Heading"/>
    <w:basedOn w:val="HeadingBase"/>
    <w:rsid w:val="00C830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015"/>
    <w:pPr>
      <w:numPr>
        <w:numId w:val="12"/>
      </w:numPr>
    </w:pPr>
  </w:style>
  <w:style w:type="paragraph" w:styleId="PlainText">
    <w:name w:val="Plain Text"/>
    <w:basedOn w:val="Normal"/>
    <w:link w:val="PlainTextChar"/>
    <w:rsid w:val="00C83015"/>
    <w:rPr>
      <w:sz w:val="20"/>
    </w:rPr>
  </w:style>
  <w:style w:type="character" w:customStyle="1" w:styleId="PlainTextChar">
    <w:name w:val="Plain Text Char"/>
    <w:basedOn w:val="DefaultParagraphFont"/>
    <w:link w:val="PlainText"/>
    <w:rsid w:val="00C830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3015"/>
    <w:rPr>
      <w:b/>
      <w:smallCaps/>
    </w:rPr>
  </w:style>
  <w:style w:type="paragraph" w:customStyle="1" w:styleId="TableListNumber">
    <w:name w:val="Table List Number"/>
    <w:basedOn w:val="ListNumber"/>
    <w:rsid w:val="00C83015"/>
    <w:pPr>
      <w:numPr>
        <w:numId w:val="0"/>
      </w:numPr>
    </w:pPr>
  </w:style>
  <w:style w:type="paragraph" w:styleId="TOC4">
    <w:name w:val="toc 4"/>
    <w:basedOn w:val="TOCBase"/>
    <w:next w:val="Normal"/>
    <w:semiHidden/>
    <w:rsid w:val="00C83015"/>
    <w:pPr>
      <w:tabs>
        <w:tab w:val="right" w:leader="dot" w:pos="9071"/>
      </w:tabs>
      <w:ind w:left="1701"/>
    </w:pPr>
  </w:style>
  <w:style w:type="paragraph" w:customStyle="1" w:styleId="ListAlpha">
    <w:name w:val="List Alpha"/>
    <w:basedOn w:val="List"/>
    <w:rsid w:val="00C83015"/>
    <w:pPr>
      <w:numPr>
        <w:numId w:val="9"/>
      </w:numPr>
    </w:pPr>
  </w:style>
  <w:style w:type="paragraph" w:customStyle="1" w:styleId="ListAlpha2">
    <w:name w:val="List Alpha 2"/>
    <w:basedOn w:val="List2"/>
    <w:rsid w:val="00C83015"/>
    <w:pPr>
      <w:numPr>
        <w:numId w:val="8"/>
      </w:numPr>
    </w:pPr>
  </w:style>
  <w:style w:type="paragraph" w:styleId="List3">
    <w:name w:val="List 3"/>
    <w:basedOn w:val="BodyText"/>
    <w:rsid w:val="00C83015"/>
    <w:pPr>
      <w:tabs>
        <w:tab w:val="left" w:pos="1021"/>
      </w:tabs>
      <w:spacing w:before="60" w:after="60"/>
      <w:ind w:left="1020" w:hanging="340"/>
    </w:pPr>
  </w:style>
  <w:style w:type="paragraph" w:styleId="List4">
    <w:name w:val="List 4"/>
    <w:basedOn w:val="BodyText"/>
    <w:rsid w:val="00C83015"/>
    <w:pPr>
      <w:tabs>
        <w:tab w:val="left" w:pos="1361"/>
      </w:tabs>
      <w:spacing w:before="60" w:after="60"/>
      <w:ind w:left="1361" w:hanging="340"/>
    </w:pPr>
  </w:style>
  <w:style w:type="paragraph" w:styleId="List5">
    <w:name w:val="List 5"/>
    <w:basedOn w:val="BodyText"/>
    <w:rsid w:val="00C83015"/>
    <w:pPr>
      <w:tabs>
        <w:tab w:val="left" w:pos="1701"/>
      </w:tabs>
      <w:spacing w:before="60" w:after="60"/>
      <w:ind w:left="1701" w:hanging="340"/>
    </w:pPr>
  </w:style>
  <w:style w:type="paragraph" w:styleId="ListBullet3">
    <w:name w:val="List Bullet 3"/>
    <w:basedOn w:val="List3"/>
    <w:rsid w:val="00C83015"/>
    <w:pPr>
      <w:numPr>
        <w:numId w:val="15"/>
      </w:numPr>
      <w:tabs>
        <w:tab w:val="clear" w:pos="1021"/>
      </w:tabs>
      <w:ind w:left="1037" w:hanging="357"/>
    </w:pPr>
  </w:style>
  <w:style w:type="paragraph" w:styleId="ListBullet4">
    <w:name w:val="List Bullet 4"/>
    <w:basedOn w:val="List4"/>
    <w:rsid w:val="00C83015"/>
    <w:pPr>
      <w:numPr>
        <w:numId w:val="3"/>
      </w:numPr>
    </w:pPr>
  </w:style>
  <w:style w:type="paragraph" w:styleId="ListBullet5">
    <w:name w:val="List Bullet 5"/>
    <w:basedOn w:val="List5"/>
    <w:rsid w:val="00C83015"/>
    <w:pPr>
      <w:numPr>
        <w:numId w:val="4"/>
      </w:numPr>
    </w:pPr>
  </w:style>
  <w:style w:type="paragraph" w:styleId="ListContinue2">
    <w:name w:val="List Continue 2"/>
    <w:basedOn w:val="List2"/>
    <w:rsid w:val="00C83015"/>
    <w:pPr>
      <w:ind w:firstLine="0"/>
    </w:pPr>
  </w:style>
  <w:style w:type="paragraph" w:styleId="ListContinue3">
    <w:name w:val="List Continue 3"/>
    <w:basedOn w:val="List3"/>
    <w:rsid w:val="00C83015"/>
    <w:pPr>
      <w:ind w:left="1021" w:firstLine="0"/>
    </w:pPr>
  </w:style>
  <w:style w:type="paragraph" w:styleId="ListContinue4">
    <w:name w:val="List Continue 4"/>
    <w:basedOn w:val="List4"/>
    <w:rsid w:val="00C83015"/>
    <w:pPr>
      <w:ind w:firstLine="0"/>
    </w:pPr>
  </w:style>
  <w:style w:type="paragraph" w:styleId="ListContinue5">
    <w:name w:val="List Continue 5"/>
    <w:basedOn w:val="List5"/>
    <w:rsid w:val="00C83015"/>
    <w:pPr>
      <w:ind w:firstLine="0"/>
    </w:pPr>
  </w:style>
  <w:style w:type="paragraph" w:styleId="ListNumber3">
    <w:name w:val="List Number 3"/>
    <w:basedOn w:val="List3"/>
    <w:rsid w:val="00C83015"/>
    <w:pPr>
      <w:numPr>
        <w:numId w:val="5"/>
      </w:numPr>
    </w:pPr>
  </w:style>
  <w:style w:type="paragraph" w:styleId="ListNumber4">
    <w:name w:val="List Number 4"/>
    <w:basedOn w:val="List4"/>
    <w:rsid w:val="00C83015"/>
    <w:pPr>
      <w:numPr>
        <w:numId w:val="6"/>
      </w:numPr>
    </w:pPr>
  </w:style>
  <w:style w:type="paragraph" w:styleId="ListNumber5">
    <w:name w:val="List Number 5"/>
    <w:basedOn w:val="List5"/>
    <w:rsid w:val="00C83015"/>
    <w:pPr>
      <w:numPr>
        <w:numId w:val="7"/>
      </w:numPr>
    </w:pPr>
  </w:style>
  <w:style w:type="paragraph" w:styleId="BlockText">
    <w:name w:val="Block Text"/>
    <w:basedOn w:val="Normal"/>
    <w:rsid w:val="00C83015"/>
    <w:pPr>
      <w:spacing w:after="120"/>
      <w:ind w:left="1440" w:right="1440"/>
    </w:pPr>
  </w:style>
  <w:style w:type="character" w:customStyle="1" w:styleId="Subscript">
    <w:name w:val="Subscript"/>
    <w:basedOn w:val="DefaultParagraphFont"/>
    <w:rsid w:val="00C83015"/>
    <w:rPr>
      <w:sz w:val="16"/>
      <w:vertAlign w:val="subscript"/>
    </w:rPr>
  </w:style>
  <w:style w:type="character" w:customStyle="1" w:styleId="Superscript">
    <w:name w:val="Superscript"/>
    <w:basedOn w:val="DefaultParagraphFont"/>
    <w:rsid w:val="00C83015"/>
    <w:rPr>
      <w:sz w:val="16"/>
      <w:vertAlign w:val="superscript"/>
    </w:rPr>
  </w:style>
  <w:style w:type="character" w:customStyle="1" w:styleId="Symbols">
    <w:name w:val="Symbols"/>
    <w:basedOn w:val="DefaultParagraphFont"/>
    <w:rsid w:val="00C83015"/>
    <w:rPr>
      <w:rFonts w:ascii="Symbol" w:hAnsi="Symbol"/>
    </w:rPr>
  </w:style>
  <w:style w:type="character" w:customStyle="1" w:styleId="MenuOptions">
    <w:name w:val="Menu Options"/>
    <w:basedOn w:val="DefaultParagraphFont"/>
    <w:rsid w:val="00C83015"/>
    <w:rPr>
      <w:rFonts w:ascii="Arial Narrow" w:hAnsi="Arial Narrow"/>
      <w:smallCaps/>
    </w:rPr>
  </w:style>
  <w:style w:type="character" w:customStyle="1" w:styleId="Buttons">
    <w:name w:val="Buttons"/>
    <w:basedOn w:val="DefaultParagraphFont"/>
    <w:rsid w:val="00C83015"/>
    <w:rPr>
      <w:b/>
    </w:rPr>
  </w:style>
  <w:style w:type="character" w:customStyle="1" w:styleId="Underlined">
    <w:name w:val="Underlined"/>
    <w:basedOn w:val="DefaultParagraphFont"/>
    <w:rsid w:val="00C83015"/>
    <w:rPr>
      <w:u w:val="single"/>
    </w:rPr>
  </w:style>
  <w:style w:type="paragraph" w:customStyle="1" w:styleId="TableBodyTextRight">
    <w:name w:val="Table Body Text Right"/>
    <w:basedOn w:val="TableBodyText"/>
    <w:rsid w:val="00C83015"/>
    <w:pPr>
      <w:widowControl w:val="0"/>
      <w:autoSpaceDE w:val="0"/>
      <w:autoSpaceDN w:val="0"/>
      <w:adjustRightInd w:val="0"/>
      <w:jc w:val="right"/>
    </w:pPr>
    <w:rPr>
      <w:rFonts w:cs="Arial"/>
      <w:szCs w:val="18"/>
    </w:rPr>
  </w:style>
  <w:style w:type="paragraph" w:customStyle="1" w:styleId="CopyrightText">
    <w:name w:val="Copyright Text"/>
    <w:basedOn w:val="BodyText"/>
    <w:rsid w:val="00C83015"/>
    <w:rPr>
      <w:sz w:val="18"/>
    </w:rPr>
  </w:style>
  <w:style w:type="paragraph" w:customStyle="1" w:styleId="BodySmallRight">
    <w:name w:val="Body Small Right"/>
    <w:basedOn w:val="BodyTextRight"/>
    <w:rsid w:val="00C83015"/>
    <w:rPr>
      <w:sz w:val="18"/>
      <w:szCs w:val="18"/>
    </w:rPr>
  </w:style>
  <w:style w:type="paragraph" w:customStyle="1" w:styleId="MarginEdition">
    <w:name w:val="Margin Edition"/>
    <w:basedOn w:val="MarginNote"/>
    <w:rsid w:val="00C83015"/>
    <w:pPr>
      <w:spacing w:before="0" w:after="0"/>
    </w:pPr>
    <w:rPr>
      <w:rFonts w:ascii="Times New Roman" w:hAnsi="Times New Roman"/>
      <w:color w:val="999999"/>
    </w:rPr>
  </w:style>
  <w:style w:type="paragraph" w:customStyle="1" w:styleId="Spacer">
    <w:name w:val="Spacer"/>
    <w:basedOn w:val="Normal"/>
    <w:rsid w:val="00C83015"/>
    <w:rPr>
      <w:sz w:val="2"/>
      <w:szCs w:val="2"/>
    </w:rPr>
  </w:style>
  <w:style w:type="character" w:customStyle="1" w:styleId="Small">
    <w:name w:val="Small"/>
    <w:basedOn w:val="DefaultParagraphFont"/>
    <w:rsid w:val="00C83015"/>
    <w:rPr>
      <w:sz w:val="16"/>
    </w:rPr>
  </w:style>
  <w:style w:type="paragraph" w:customStyle="1" w:styleId="WideTable">
    <w:name w:val="Wide Table"/>
    <w:basedOn w:val="Normal"/>
    <w:rsid w:val="00C83015"/>
    <w:pPr>
      <w:ind w:left="-1418"/>
    </w:pPr>
    <w:rPr>
      <w:sz w:val="2"/>
      <w:szCs w:val="2"/>
    </w:rPr>
  </w:style>
  <w:style w:type="character" w:styleId="PageNumber">
    <w:name w:val="page number"/>
    <w:basedOn w:val="DefaultParagraphFont"/>
    <w:rsid w:val="00C83015"/>
  </w:style>
  <w:style w:type="paragraph" w:styleId="Quote">
    <w:name w:val="Quote"/>
    <w:basedOn w:val="Heading1"/>
    <w:link w:val="QuoteChar"/>
    <w:qFormat/>
    <w:rsid w:val="00C83015"/>
    <w:rPr>
      <w:b w:val="0"/>
      <w:sz w:val="72"/>
      <w:szCs w:val="72"/>
      <w:lang w:val="en-NZ"/>
    </w:rPr>
  </w:style>
  <w:style w:type="character" w:customStyle="1" w:styleId="QuoteChar">
    <w:name w:val="Quote Char"/>
    <w:basedOn w:val="DefaultParagraphFont"/>
    <w:link w:val="Quote"/>
    <w:rsid w:val="00C830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015"/>
    <w:pPr>
      <w:pageBreakBefore/>
    </w:pPr>
  </w:style>
  <w:style w:type="paragraph" w:customStyle="1" w:styleId="Border">
    <w:name w:val="Border"/>
    <w:basedOn w:val="Normal"/>
    <w:qFormat/>
    <w:rsid w:val="00C830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015"/>
    <w:rPr>
      <w:b/>
      <w:bCs/>
      <w:i/>
      <w:iCs/>
      <w:color w:val="auto"/>
    </w:rPr>
  </w:style>
  <w:style w:type="paragraph" w:styleId="IntenseQuote">
    <w:name w:val="Intense Quote"/>
    <w:basedOn w:val="Normal"/>
    <w:next w:val="Normal"/>
    <w:link w:val="IntenseQuoteChar"/>
    <w:uiPriority w:val="30"/>
    <w:qFormat/>
    <w:rsid w:val="00C830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0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3015"/>
    <w:rPr>
      <w:smallCaps/>
      <w:color w:val="auto"/>
      <w:u w:val="single"/>
    </w:rPr>
  </w:style>
  <w:style w:type="character" w:styleId="IntenseReference">
    <w:name w:val="Intense Reference"/>
    <w:basedOn w:val="DefaultParagraphFont"/>
    <w:uiPriority w:val="32"/>
    <w:qFormat/>
    <w:rsid w:val="00C83015"/>
    <w:rPr>
      <w:b/>
      <w:bCs/>
      <w:smallCaps/>
      <w:color w:val="auto"/>
      <w:spacing w:val="5"/>
      <w:u w:val="single"/>
    </w:rPr>
  </w:style>
  <w:style w:type="paragraph" w:customStyle="1" w:styleId="2ColumnHeading">
    <w:name w:val="2Column Heading"/>
    <w:basedOn w:val="BodyText"/>
    <w:qFormat/>
    <w:rsid w:val="00C83015"/>
    <w:pPr>
      <w:spacing w:after="60"/>
      <w:ind w:left="-2268"/>
    </w:pPr>
    <w:rPr>
      <w:b/>
    </w:rPr>
  </w:style>
  <w:style w:type="paragraph" w:customStyle="1" w:styleId="Heading1TOC">
    <w:name w:val="Heading1 TOC"/>
    <w:basedOn w:val="Normal"/>
    <w:qFormat/>
    <w:rsid w:val="00C83015"/>
    <w:pPr>
      <w:spacing w:before="240" w:after="120"/>
    </w:pPr>
    <w:rPr>
      <w:rFonts w:ascii="Times New Roman" w:hAnsi="Times New Roman"/>
      <w:b/>
      <w:sz w:val="32"/>
    </w:rPr>
  </w:style>
  <w:style w:type="paragraph" w:customStyle="1" w:styleId="Heading2TOC">
    <w:name w:val="Heading2 TOC"/>
    <w:basedOn w:val="Normal"/>
    <w:qFormat/>
    <w:rsid w:val="00C83015"/>
    <w:pPr>
      <w:spacing w:before="240" w:after="60"/>
    </w:pPr>
    <w:rPr>
      <w:rFonts w:ascii="Times New Roman" w:hAnsi="Times New Roman"/>
      <w:b/>
      <w:sz w:val="28"/>
    </w:rPr>
  </w:style>
  <w:style w:type="character" w:customStyle="1" w:styleId="Underline">
    <w:name w:val="Underline"/>
    <w:basedOn w:val="DefaultParagraphFont"/>
    <w:qFormat/>
    <w:rsid w:val="00C83015"/>
    <w:rPr>
      <w:u w:val="single"/>
    </w:rPr>
  </w:style>
  <w:style w:type="paragraph" w:styleId="BalloonText">
    <w:name w:val="Balloon Text"/>
    <w:basedOn w:val="Normal"/>
    <w:link w:val="BalloonTextChar"/>
    <w:rsid w:val="00C83015"/>
    <w:rPr>
      <w:rFonts w:ascii="Tahoma" w:hAnsi="Tahoma" w:cs="Tahoma"/>
      <w:sz w:val="16"/>
      <w:szCs w:val="16"/>
    </w:rPr>
  </w:style>
  <w:style w:type="character" w:customStyle="1" w:styleId="BalloonTextChar">
    <w:name w:val="Balloon Text Char"/>
    <w:basedOn w:val="DefaultParagraphFont"/>
    <w:link w:val="BalloonText"/>
    <w:rsid w:val="00C830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30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30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1288</Words>
  <Characters>8201</Characters>
  <Application>Microsoft Office Word</Application>
  <DocSecurity>0</DocSecurity>
  <Lines>303</Lines>
  <Paragraphs>171</Paragraphs>
  <ScaleCrop>false</ScaleCrop>
  <Company>Author-it Software Corporation Ltd.</Company>
  <LinksUpToDate>false</LinksUpToDate>
  <CharactersWithSpaces>9418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RIIPBP302A Control operations in acid plant</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2012-05-26T21:13:00Z</dcterms:created>
  <dcterms:modified xsi:type="dcterms:W3CDTF">2012-05-26T21:13:00Z</dcterms:modified>
</cp:coreProperties>
</file>