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1B8" w:rsidP="00D531B8">
      <w:pPr>
        <w:pStyle w:val="Title"/>
      </w:pPr>
      <w:r>
        <w:fldChar w:fldCharType="begin"/>
      </w:r>
      <w:r>
        <w:instrText xml:space="preserve"> TITLE   \* MERGEFORMAT </w:instrText>
      </w:r>
      <w:r>
        <w:fldChar w:fldCharType="separate"/>
      </w:r>
      <w:r>
        <w:t>RIICTB302A Install temporary support members</w:t>
      </w:r>
      <w:r>
        <w:fldChar w:fldCharType="end"/>
      </w:r>
    </w:p>
    <w:p w:rsidR="00D531B8" w:rsidP="00D531B8">
      <w:pPr>
        <w:pStyle w:val="Version"/>
        <w:sectPr w:rsidSect="000B2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E56" w:rsidP="000B2E56">
      <w:pPr>
        <w:pStyle w:val="SuperHeading"/>
      </w:pPr>
      <w:r w:rsidRPr="000B2E56">
        <w:t>RIICTB302A Install temporary support members</w:t>
      </w:r>
    </w:p>
    <w:p w:rsidR="00000000" w:rsidRPr="000B2E56" w:rsidP="000B2E56">
      <w:pPr>
        <w:pStyle w:val="Heading1"/>
      </w:pPr>
      <w:bookmarkStart w:id="1" w:name="O_128163"/>
      <w:bookmarkEnd w:id="1"/>
      <w:r w:rsidRPr="000B2E56">
        <w:t>Modification History</w:t>
      </w:r>
    </w:p>
    <w:p w:rsidR="00000000" w:rsidRPr="000B2E56" w:rsidP="000B2E56">
      <w:pPr>
        <w:pStyle w:val="BodyText"/>
      </w:pPr>
      <w:r w:rsidRPr="000B2E56">
        <w:t>Not applicable.</w:t>
      </w:r>
    </w:p>
    <w:p w:rsidR="00000000" w:rsidRPr="000B2E56" w:rsidP="000B2E56">
      <w:pPr>
        <w:pStyle w:val="AllowPageBreak"/>
      </w:pPr>
    </w:p>
    <w:p w:rsidR="00000000" w:rsidRPr="000B2E56" w:rsidP="000B2E56">
      <w:pPr>
        <w:pStyle w:val="Heading1"/>
      </w:pPr>
      <w:bookmarkStart w:id="2" w:name="O_128164"/>
      <w:bookmarkEnd w:id="2"/>
      <w:r w:rsidRPr="000B2E56">
        <w:t>Unit Descriptor</w:t>
      </w:r>
    </w:p>
    <w:p w:rsidR="00000000" w:rsidRPr="000B2E56" w:rsidP="000B2E56">
      <w:pPr>
        <w:pStyle w:val="BodyText"/>
      </w:pPr>
      <w:r w:rsidRPr="000B2E56">
        <w:t xml:space="preserve">This unit covers the installation of temporary support members in the civil construction industry.  It includes planning </w:t>
      </w:r>
      <w:r w:rsidRPr="000B2E56">
        <w:t>and preparing, installing temporary foundations, bed-logs and shoring systems, installing temporary members, and cleaning up.  Licensing, legislative, regulatory and certification requirements that apply to this unit can vary between states, territories, a</w:t>
      </w:r>
      <w:r w:rsidRPr="000B2E56">
        <w:t>nd industry sectors.  Relevant information must be sourced prior to application of the unit.</w:t>
      </w:r>
    </w:p>
    <w:p w:rsidR="00000000" w:rsidRPr="000B2E56" w:rsidP="000B2E56">
      <w:pPr>
        <w:pStyle w:val="AllowPageBreak"/>
      </w:pPr>
    </w:p>
    <w:p w:rsidR="00000000" w:rsidRPr="000B2E56" w:rsidP="000B2E56">
      <w:pPr>
        <w:pStyle w:val="Heading1"/>
      </w:pPr>
      <w:bookmarkStart w:id="3" w:name="O_128165"/>
      <w:bookmarkEnd w:id="3"/>
      <w:r w:rsidRPr="000B2E56">
        <w:t>Application of the Unit</w:t>
      </w:r>
    </w:p>
    <w:p w:rsidR="00000000" w:rsidRPr="000B2E56" w:rsidP="000B2E56">
      <w:pPr>
        <w:pStyle w:val="BodyText"/>
      </w:pPr>
      <w:r w:rsidRPr="000B2E56">
        <w:t>This unit is appropriate for those working in an operational role at worksites within:</w:t>
      </w:r>
    </w:p>
    <w:p w:rsidR="00000000" w:rsidRPr="000B2E56" w:rsidP="000B2E56">
      <w:pPr>
        <w:pStyle w:val="ListBullet"/>
      </w:pPr>
      <w:r w:rsidRPr="000B2E56">
        <w:t>Civil construction</w:t>
      </w:r>
    </w:p>
    <w:p w:rsidR="00000000" w:rsidRPr="000B2E56" w:rsidP="000B2E56">
      <w:pPr>
        <w:pStyle w:val="AllowPageBreak"/>
      </w:pPr>
    </w:p>
    <w:p w:rsidR="00000000" w:rsidRPr="000B2E56" w:rsidP="000B2E56">
      <w:pPr>
        <w:pStyle w:val="Heading1"/>
      </w:pPr>
      <w:bookmarkStart w:id="4" w:name="O_128166"/>
      <w:bookmarkEnd w:id="4"/>
      <w:r w:rsidRPr="000B2E56">
        <w:t>Licensing/Regulatory Information</w:t>
      </w:r>
    </w:p>
    <w:p w:rsidR="00000000" w:rsidRPr="000B2E56" w:rsidP="000B2E56">
      <w:pPr>
        <w:pStyle w:val="BodyText"/>
      </w:pPr>
      <w:r w:rsidRPr="000B2E56">
        <w:t>Refer to Unit Descriptor.</w:t>
      </w:r>
    </w:p>
    <w:p w:rsidR="00000000" w:rsidRPr="000B2E56" w:rsidP="000B2E56">
      <w:pPr>
        <w:pStyle w:val="AllowPageBreak"/>
      </w:pPr>
    </w:p>
    <w:p w:rsidR="00000000" w:rsidRPr="000B2E56" w:rsidP="000B2E56">
      <w:pPr>
        <w:pStyle w:val="Heading1"/>
      </w:pPr>
      <w:bookmarkStart w:id="5" w:name="O_128167"/>
      <w:bookmarkEnd w:id="5"/>
      <w:r w:rsidRPr="000B2E56">
        <w:t>Pre-Requisites</w:t>
      </w:r>
    </w:p>
    <w:p w:rsidR="00000000" w:rsidRPr="000B2E56" w:rsidP="000B2E56">
      <w:pPr>
        <w:pStyle w:val="BodyText"/>
      </w:pPr>
      <w:r w:rsidRPr="000B2E56">
        <w:t>Not applicable.</w:t>
      </w:r>
    </w:p>
    <w:p w:rsidR="00000000" w:rsidRPr="000B2E56" w:rsidP="000B2E56">
      <w:pPr>
        <w:pStyle w:val="AllowPageBreak"/>
      </w:pPr>
    </w:p>
    <w:p w:rsidR="00000000" w:rsidRPr="000B2E56" w:rsidP="000B2E56">
      <w:pPr>
        <w:pStyle w:val="Heading1"/>
      </w:pPr>
      <w:bookmarkStart w:id="6" w:name="O_128168"/>
      <w:bookmarkEnd w:id="6"/>
      <w:r w:rsidRPr="000B2E56">
        <w:t>Employability Skills Information</w:t>
      </w:r>
    </w:p>
    <w:p w:rsidR="00000000" w:rsidRPr="000B2E56" w:rsidP="000B2E56">
      <w:pPr>
        <w:pStyle w:val="BodyText"/>
      </w:pPr>
      <w:r w:rsidRPr="000B2E56">
        <w:t>This unit contains employability skills.</w:t>
      </w:r>
    </w:p>
    <w:p w:rsidR="00000000" w:rsidRPr="000B2E56" w:rsidP="000B2E56">
      <w:pPr>
        <w:pStyle w:val="AllowPageBreak"/>
      </w:pPr>
    </w:p>
    <w:p w:rsidR="00000000" w:rsidRPr="000B2E56" w:rsidP="000B2E56">
      <w:pPr>
        <w:pStyle w:val="Heading1"/>
      </w:pPr>
      <w:bookmarkStart w:id="7" w:name="O_128169"/>
      <w:bookmarkEnd w:id="7"/>
      <w:r w:rsidRPr="000B2E56">
        <w:t>Eleme</w:t>
      </w:r>
      <w:r w:rsidRPr="000B2E56">
        <w:t>nts and Performance Criteria Pre-Content</w:t>
      </w:r>
    </w:p>
    <w:tbl>
      <w:tblPr>
        <w:tblW w:w="0" w:type="auto"/>
        <w:tblLayout w:type="fixed"/>
        <w:tblCellMar>
          <w:left w:w="62" w:type="dxa"/>
          <w:right w:w="62" w:type="dxa"/>
        </w:tblCellMar>
        <w:tblLook w:val="0000"/>
      </w:tblPr>
      <w:tblGrid>
        <w:gridCol w:w="2558"/>
        <w:gridCol w:w="5964"/>
      </w:tblGrid>
      <w:tr w:rsidTr="00D531B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Performance criteria describe the performance needed to demonstrate achievement of the element. Where bold italicised text is used, further informati</w:t>
            </w:r>
            <w:r w:rsidRPr="000B2E56">
              <w:t>on is detailed in the required skills and knowledge section and the range statement. Assessment of performance is to be consistent with the evidence guide.</w:t>
            </w:r>
          </w:p>
        </w:tc>
      </w:tr>
    </w:tbl>
    <w:p w:rsidR="00000000" w:rsidRPr="000B2E56" w:rsidP="000B2E56">
      <w:pPr>
        <w:pStyle w:val="BodyText"/>
      </w:pPr>
    </w:p>
    <w:p w:rsidR="00000000" w:rsidRPr="000B2E56" w:rsidP="000B2E56">
      <w:pPr>
        <w:pStyle w:val="AllowPageBreak"/>
      </w:pPr>
    </w:p>
    <w:p w:rsidR="00000000" w:rsidRPr="000B2E56" w:rsidP="000B2E56">
      <w:pPr>
        <w:pStyle w:val="Heading1"/>
      </w:pPr>
      <w:bookmarkStart w:id="8" w:name="O_128170"/>
      <w:bookmarkEnd w:id="8"/>
      <w:r w:rsidRPr="000B2E56">
        <w:t>Elements and Performance Criteria</w:t>
      </w:r>
    </w:p>
    <w:tbl>
      <w:tblPr>
        <w:tblW w:w="0" w:type="auto"/>
        <w:tblLayout w:type="fixed"/>
        <w:tblCellMar>
          <w:left w:w="62" w:type="dxa"/>
          <w:right w:w="62" w:type="dxa"/>
        </w:tblCellMar>
        <w:tblLook w:val="0000"/>
      </w:tblPr>
      <w:tblGrid>
        <w:gridCol w:w="3471"/>
        <w:gridCol w:w="5051"/>
      </w:tblGrid>
      <w:tr w:rsidTr="00D531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PERFORMANCE CRITERIA</w:t>
            </w:r>
          </w:p>
        </w:tc>
      </w:tr>
      <w:tr w:rsidTr="00D531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
              <w:rPr>
                <w:lang w:val="en-NZ"/>
              </w:rPr>
            </w:pPr>
            <w:r w:rsidRPr="000B2E56">
              <w:t>1.</w:t>
            </w:r>
            <w:r w:rsidRPr="000B2E56">
              <w:tab/>
            </w:r>
            <w:r w:rsidRPr="000B2E56">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2"/>
            </w:pPr>
            <w:r w:rsidRPr="000B2E56">
              <w:t>1.1.</w:t>
            </w:r>
            <w:r w:rsidRPr="000B2E56">
              <w:tab/>
              <w:t xml:space="preserve">Access, interpret and apply </w:t>
            </w:r>
            <w:r w:rsidRPr="000B2E56">
              <w:rPr>
                <w:rStyle w:val="BoldandItalics"/>
              </w:rPr>
              <w:t>compliance documentation</w:t>
            </w:r>
            <w:r w:rsidRPr="000B2E56">
              <w:t xml:space="preserve"> relevant to the work activity</w:t>
            </w:r>
          </w:p>
          <w:p w:rsidR="00000000" w:rsidRPr="000B2E56" w:rsidP="000B2E56">
            <w:pPr>
              <w:pStyle w:val="List2"/>
            </w:pPr>
            <w:r w:rsidRPr="000B2E56">
              <w:t>1.2.</w:t>
            </w:r>
            <w:r w:rsidRPr="000B2E56">
              <w:tab/>
              <w:t xml:space="preserve">Obtain and confirm </w:t>
            </w:r>
            <w:r w:rsidRPr="000B2E56">
              <w:rPr>
                <w:rStyle w:val="BoldandItalics"/>
              </w:rPr>
              <w:t>safety requirements</w:t>
            </w:r>
            <w:r w:rsidRPr="000B2E56">
              <w:t xml:space="preserve"> from the </w:t>
            </w:r>
            <w:r w:rsidRPr="000B2E56">
              <w:rPr>
                <w:rStyle w:val="BoldandItalics"/>
              </w:rPr>
              <w:t>site</w:t>
            </w:r>
            <w:r w:rsidRPr="000B2E56">
              <w:t xml:space="preserve"> safety plan and organisational policies and procedures, and apply to the allotted task</w:t>
            </w:r>
          </w:p>
          <w:p w:rsidR="00000000" w:rsidRPr="000B2E56" w:rsidP="000B2E56">
            <w:pPr>
              <w:pStyle w:val="List2"/>
            </w:pPr>
            <w:r w:rsidRPr="000B2E56">
              <w:t>1.3.</w:t>
            </w:r>
            <w:r w:rsidRPr="000B2E56">
              <w:tab/>
              <w:t>I</w:t>
            </w:r>
            <w:r w:rsidRPr="000B2E56">
              <w:t xml:space="preserve">dentify, obtain and implement </w:t>
            </w:r>
            <w:r w:rsidRPr="000B2E56">
              <w:rPr>
                <w:rStyle w:val="BoldandItalics"/>
              </w:rPr>
              <w:t>signage</w:t>
            </w:r>
            <w:r w:rsidRPr="000B2E56">
              <w:t xml:space="preserve"> requirements from the project </w:t>
            </w:r>
            <w:r w:rsidRPr="000B2E56">
              <w:rPr>
                <w:rStyle w:val="BoldandItalics"/>
              </w:rPr>
              <w:t>traffic</w:t>
            </w:r>
            <w:r w:rsidRPr="000B2E56">
              <w:t xml:space="preserve"> management plan </w:t>
            </w:r>
          </w:p>
          <w:p w:rsidR="00000000" w:rsidRPr="000B2E56" w:rsidP="000B2E56">
            <w:pPr>
              <w:pStyle w:val="List2"/>
            </w:pPr>
            <w:r w:rsidRPr="000B2E56">
              <w:t>1.4.</w:t>
            </w:r>
            <w:r w:rsidRPr="000B2E56">
              <w:tab/>
              <w:t xml:space="preserve">Select plant, </w:t>
            </w:r>
            <w:r w:rsidRPr="000B2E56">
              <w:rPr>
                <w:rStyle w:val="BoldandItalics"/>
              </w:rPr>
              <w:t>tools and equipment</w:t>
            </w:r>
            <w:r w:rsidRPr="000B2E56">
              <w:t xml:space="preserve"> to carry out tasks consistent with the requirements of the job, check for serviceability and rectify or report any faults </w:t>
            </w:r>
          </w:p>
          <w:p w:rsidR="00000000" w:rsidRPr="000B2E56" w:rsidP="000B2E56">
            <w:pPr>
              <w:pStyle w:val="List2"/>
            </w:pPr>
            <w:r w:rsidRPr="000B2E56">
              <w:t>1.5.</w:t>
            </w:r>
            <w:r w:rsidRPr="000B2E56">
              <w:tab/>
              <w:t xml:space="preserve">Identify </w:t>
            </w:r>
            <w:r w:rsidRPr="000B2E56">
              <w:rPr>
                <w:rStyle w:val="BoldandItalics"/>
              </w:rPr>
              <w:t>materials</w:t>
            </w:r>
            <w:r w:rsidRPr="000B2E56">
              <w:t xml:space="preserve"> appropriate to the work application, and ensure they are safely handled and located ready for use</w:t>
            </w:r>
          </w:p>
          <w:p w:rsidR="00000000" w:rsidP="000B2E56">
            <w:pPr>
              <w:pStyle w:val="List2"/>
              <w:rPr>
                <w:lang w:val="en-NZ"/>
              </w:rPr>
            </w:pPr>
            <w:r w:rsidRPr="000B2E56">
              <w:t>1.6.</w:t>
            </w:r>
            <w:r w:rsidRPr="000B2E56">
              <w:tab/>
              <w:t xml:space="preserve">Identify </w:t>
            </w:r>
            <w:r w:rsidRPr="000B2E56">
              <w:rPr>
                <w:rStyle w:val="BoldandItalics"/>
              </w:rPr>
              <w:t>environmental protection requirements</w:t>
            </w:r>
            <w:r w:rsidRPr="000B2E56">
              <w:t xml:space="preserve"> from the project environmental management plan</w:t>
            </w:r>
          </w:p>
        </w:tc>
      </w:tr>
      <w:tr w:rsidTr="00D531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
              <w:rPr>
                <w:lang w:val="en-NZ"/>
              </w:rPr>
            </w:pPr>
            <w:r w:rsidRPr="000B2E56">
              <w:t>2.</w:t>
            </w:r>
            <w:r w:rsidRPr="000B2E56">
              <w:tab/>
              <w:t xml:space="preserve">Install temporary foundations, </w:t>
            </w:r>
            <w:r w:rsidRPr="000B2E56">
              <w:t>bed-logs and shoring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2"/>
            </w:pPr>
            <w:r w:rsidRPr="000B2E56">
              <w:t>2.1.</w:t>
            </w:r>
            <w:r w:rsidRPr="000B2E56">
              <w:tab/>
            </w:r>
            <w:r w:rsidRPr="000B2E56">
              <w:rPr>
                <w:rStyle w:val="BoldandItalics"/>
              </w:rPr>
              <w:t>Excavate foundation</w:t>
            </w:r>
            <w:r w:rsidRPr="000B2E56">
              <w:t xml:space="preserve"> installation site</w:t>
            </w:r>
          </w:p>
          <w:p w:rsidR="00000000" w:rsidRPr="000B2E56" w:rsidP="000B2E56">
            <w:pPr>
              <w:pStyle w:val="List2"/>
            </w:pPr>
            <w:r w:rsidRPr="000B2E56">
              <w:t>2.2.</w:t>
            </w:r>
            <w:r w:rsidRPr="000B2E56">
              <w:tab/>
              <w:t xml:space="preserve">Install bed-log or </w:t>
            </w:r>
            <w:r w:rsidRPr="000B2E56">
              <w:rPr>
                <w:rStyle w:val="Emphasis"/>
              </w:rPr>
              <w:t>concrete footing</w:t>
            </w:r>
          </w:p>
          <w:p w:rsidR="00000000" w:rsidRPr="000B2E56" w:rsidP="000B2E56">
            <w:pPr>
              <w:pStyle w:val="List2"/>
            </w:pPr>
            <w:r w:rsidRPr="000B2E56">
              <w:t>2.3.</w:t>
            </w:r>
            <w:r w:rsidRPr="000B2E56">
              <w:tab/>
              <w:t xml:space="preserve">Install </w:t>
            </w:r>
            <w:r w:rsidRPr="000B2E56">
              <w:rPr>
                <w:rStyle w:val="BoldandItalics"/>
              </w:rPr>
              <w:t>shoring system</w:t>
            </w:r>
            <w:r w:rsidRPr="000B2E56">
              <w:t xml:space="preserve"> or prepare timbers</w:t>
            </w:r>
          </w:p>
          <w:p w:rsidR="00000000" w:rsidRPr="000B2E56" w:rsidP="000B2E56">
            <w:pPr>
              <w:pStyle w:val="List2"/>
            </w:pPr>
            <w:r w:rsidRPr="000B2E56">
              <w:t>2.4.</w:t>
            </w:r>
            <w:r w:rsidRPr="000B2E56">
              <w:tab/>
              <w:t xml:space="preserve">Install jacks or proprietary shoring systems to </w:t>
            </w:r>
            <w:r w:rsidRPr="000B2E56">
              <w:rPr>
                <w:rStyle w:val="BoldandItalics"/>
              </w:rPr>
              <w:t>restore the bridge</w:t>
            </w:r>
            <w:r w:rsidRPr="000B2E56">
              <w:t>/</w:t>
            </w:r>
            <w:r w:rsidRPr="000B2E56">
              <w:rPr>
                <w:rStyle w:val="BoldandItalics"/>
              </w:rPr>
              <w:t>deck level</w:t>
            </w:r>
          </w:p>
          <w:p w:rsidR="00000000" w:rsidRPr="000B2E56" w:rsidP="000B2E56">
            <w:pPr>
              <w:pStyle w:val="List2"/>
            </w:pPr>
            <w:r w:rsidRPr="000B2E56">
              <w:t>2.5.</w:t>
            </w:r>
            <w:r w:rsidRPr="000B2E56">
              <w:tab/>
              <w:t xml:space="preserve">Install </w:t>
            </w:r>
            <w:r w:rsidRPr="000B2E56">
              <w:rPr>
                <w:rStyle w:val="BoldandItalics"/>
              </w:rPr>
              <w:t>braces</w:t>
            </w:r>
            <w:r w:rsidRPr="000B2E56">
              <w:t xml:space="preserve"> for stability during corrective work</w:t>
            </w:r>
          </w:p>
          <w:p w:rsidR="00000000" w:rsidP="000B2E56">
            <w:pPr>
              <w:pStyle w:val="List2"/>
              <w:rPr>
                <w:lang w:val="en-NZ"/>
              </w:rPr>
            </w:pPr>
            <w:r w:rsidRPr="000B2E56">
              <w:t>2.6.</w:t>
            </w:r>
            <w:r w:rsidRPr="000B2E56">
              <w:tab/>
              <w:t xml:space="preserve">Install custom designed support brackets or piles </w:t>
            </w:r>
          </w:p>
        </w:tc>
      </w:tr>
      <w:tr w:rsidTr="00D531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
              <w:rPr>
                <w:lang w:val="en-NZ"/>
              </w:rPr>
            </w:pPr>
            <w:r w:rsidRPr="000B2E56">
              <w:t>3.</w:t>
            </w:r>
            <w:r w:rsidRPr="000B2E56">
              <w:tab/>
              <w:t>Install temporary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2"/>
            </w:pPr>
            <w:r w:rsidRPr="000B2E56">
              <w:t>3.1.</w:t>
            </w:r>
            <w:r w:rsidRPr="000B2E56">
              <w:tab/>
              <w:t>Install fasteners to specification</w:t>
            </w:r>
          </w:p>
          <w:p w:rsidR="00000000" w:rsidRPr="000B2E56" w:rsidP="000B2E56">
            <w:pPr>
              <w:pStyle w:val="List2"/>
            </w:pPr>
            <w:r w:rsidRPr="000B2E56">
              <w:t>3.2.</w:t>
            </w:r>
            <w:r w:rsidRPr="000B2E56">
              <w:tab/>
              <w:t>Install girders/stringers to specification</w:t>
            </w:r>
          </w:p>
          <w:p w:rsidR="00000000" w:rsidP="000B2E56">
            <w:pPr>
              <w:pStyle w:val="List2"/>
              <w:rPr>
                <w:lang w:val="en-NZ"/>
              </w:rPr>
            </w:pPr>
            <w:r w:rsidRPr="000B2E56">
              <w:t>3.3.</w:t>
            </w:r>
            <w:r w:rsidRPr="000B2E56">
              <w:tab/>
              <w:t xml:space="preserve">Install </w:t>
            </w:r>
            <w:r w:rsidRPr="000B2E56">
              <w:rPr>
                <w:rStyle w:val="BoldandItalics"/>
              </w:rPr>
              <w:t>supplementary members</w:t>
            </w:r>
            <w:r w:rsidRPr="000B2E56">
              <w:t xml:space="preserve"> to </w:t>
            </w:r>
            <w:r w:rsidRPr="000B2E56">
              <w:t>specification</w:t>
            </w:r>
          </w:p>
        </w:tc>
      </w:tr>
      <w:tr w:rsidTr="00D531B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
              <w:rPr>
                <w:lang w:val="en-NZ"/>
              </w:rPr>
            </w:pPr>
            <w:r w:rsidRPr="000B2E56">
              <w:t>4.</w:t>
            </w:r>
            <w:r w:rsidRPr="000B2E5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2"/>
            </w:pPr>
            <w:r w:rsidRPr="000B2E56">
              <w:t>4.1.</w:t>
            </w:r>
            <w:r w:rsidRPr="000B2E56">
              <w:tab/>
              <w:t>Clear work area and dispose of or recycle materials in accordance with state or territory legislation</w:t>
            </w:r>
          </w:p>
          <w:p w:rsidR="00000000" w:rsidRPr="000B2E56" w:rsidP="000B2E56">
            <w:pPr>
              <w:pStyle w:val="List2"/>
            </w:pPr>
            <w:r w:rsidRPr="000B2E56">
              <w:t>4.2.</w:t>
            </w:r>
            <w:r w:rsidRPr="000B2E56">
              <w:tab/>
              <w:t>Clean, check, maintain and store machinery, tools and equipment</w:t>
            </w:r>
          </w:p>
        </w:tc>
      </w:tr>
    </w:tbl>
    <w:p w:rsidR="00000000" w:rsidRPr="000B2E56" w:rsidP="000B2E56">
      <w:pPr>
        <w:pStyle w:val="BodyText"/>
      </w:pPr>
    </w:p>
    <w:p w:rsidR="00000000" w:rsidRPr="000B2E56" w:rsidP="000B2E56">
      <w:pPr>
        <w:pStyle w:val="AllowPageBreak"/>
      </w:pPr>
    </w:p>
    <w:p w:rsidR="00000000" w:rsidRPr="000B2E56" w:rsidP="000B2E56">
      <w:pPr>
        <w:pStyle w:val="Heading1"/>
      </w:pPr>
      <w:bookmarkStart w:id="9" w:name="O_128171"/>
      <w:bookmarkEnd w:id="9"/>
      <w:r w:rsidRPr="000B2E56">
        <w:t>Required Skills and Knowledge</w:t>
      </w:r>
    </w:p>
    <w:tbl>
      <w:tblPr>
        <w:tblW w:w="0" w:type="auto"/>
        <w:tblLayout w:type="fixed"/>
        <w:tblCellMar>
          <w:left w:w="62" w:type="dxa"/>
          <w:right w:w="62" w:type="dxa"/>
        </w:tblCellMar>
        <w:tblLook w:val="0000"/>
      </w:tblPr>
      <w:tblGrid>
        <w:gridCol w:w="8522"/>
      </w:tblGrid>
      <w:tr w:rsidTr="00D53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t>This section describes the skills and knowledge required for this unit.</w:t>
            </w:r>
          </w:p>
        </w:tc>
      </w:tr>
      <w:tr w:rsidTr="00D53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Required skills</w:t>
            </w:r>
          </w:p>
        </w:tc>
      </w:tr>
      <w:tr w:rsidTr="00D53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Specific skills are required to achieve the Performance Criteria of this unit, particularly for its application in the various circumstances in which this unit may be</w:t>
            </w:r>
            <w:r w:rsidRPr="000B2E56">
              <w:t xml:space="preserve"> used. This includes the ability to carry out the following, as required to install temporary support members:</w:t>
            </w:r>
          </w:p>
          <w:p w:rsidR="00000000" w:rsidRPr="000B2E56" w:rsidP="000B2E56">
            <w:pPr>
              <w:pStyle w:val="ListBullet"/>
            </w:pPr>
            <w:r w:rsidRPr="000B2E56">
              <w:t>apply legislative, organisation and site requirements and procedures for installation of temporary support members</w:t>
            </w:r>
          </w:p>
          <w:p w:rsidR="00000000" w:rsidRPr="000B2E56" w:rsidP="000B2E56">
            <w:pPr>
              <w:pStyle w:val="ListBullet"/>
            </w:pPr>
            <w:r w:rsidRPr="000B2E56">
              <w:t>organise work activities</w:t>
            </w:r>
          </w:p>
          <w:p w:rsidR="00000000" w:rsidRPr="000B2E56" w:rsidP="000B2E56">
            <w:pPr>
              <w:pStyle w:val="ListBullet"/>
            </w:pPr>
            <w:r w:rsidRPr="000B2E56">
              <w:t>select and use relevant tools and equipment safely</w:t>
            </w:r>
          </w:p>
          <w:p w:rsidR="00000000" w:rsidRPr="000B2E56" w:rsidP="000B2E56">
            <w:pPr>
              <w:pStyle w:val="ListBullet"/>
            </w:pPr>
            <w:r w:rsidRPr="000B2E56">
              <w:t>identify and report on hazards related to the worksite and work activity</w:t>
            </w:r>
          </w:p>
          <w:p w:rsidR="00000000" w:rsidP="000B2E56">
            <w:pPr>
              <w:pStyle w:val="ListBullet"/>
              <w:rPr>
                <w:lang w:val="en-NZ"/>
              </w:rPr>
            </w:pPr>
            <w:r w:rsidRPr="000B2E56">
              <w:t>communicate effectively to receive and clarify work instructions</w:t>
            </w:r>
          </w:p>
        </w:tc>
      </w:tr>
      <w:tr w:rsidTr="00D53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Required knowledge</w:t>
            </w:r>
          </w:p>
        </w:tc>
      </w:tr>
      <w:tr w:rsidTr="00D53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 xml:space="preserve">Specific knowledge is required to achieve the </w:t>
            </w:r>
            <w:r w:rsidRPr="000B2E56">
              <w:t>Performance Criteria of this unit, particularly for its application in the various circumstances in which this unit may be used. This includes knowledge of the following, as required to install temporary support members:</w:t>
            </w:r>
          </w:p>
          <w:p w:rsidR="00000000" w:rsidRPr="000B2E56" w:rsidP="000B2E56">
            <w:pPr>
              <w:pStyle w:val="ListBullet"/>
            </w:pPr>
            <w:r w:rsidRPr="000B2E56">
              <w:t>site and equipment safety requirem</w:t>
            </w:r>
            <w:r w:rsidRPr="000B2E56">
              <w:t>ents</w:t>
            </w:r>
          </w:p>
          <w:p w:rsidR="00000000" w:rsidRPr="000B2E56" w:rsidP="000B2E56">
            <w:pPr>
              <w:pStyle w:val="ListBullet"/>
            </w:pPr>
            <w:r w:rsidRPr="000B2E56">
              <w:t>temporary support member installation procedures and techniques</w:t>
            </w:r>
          </w:p>
          <w:p w:rsidR="00000000" w:rsidRPr="000B2E56" w:rsidP="000B2E56">
            <w:pPr>
              <w:pStyle w:val="ListBullet"/>
            </w:pPr>
            <w:r w:rsidRPr="000B2E56">
              <w:t>pier stability and foundations</w:t>
            </w:r>
          </w:p>
          <w:p w:rsidR="00000000" w:rsidRPr="000B2E56" w:rsidP="000B2E56">
            <w:pPr>
              <w:pStyle w:val="ListBullet"/>
            </w:pPr>
            <w:r w:rsidRPr="000B2E56">
              <w:t>connection behaviour</w:t>
            </w:r>
          </w:p>
          <w:p w:rsidR="00000000" w:rsidRPr="000B2E56" w:rsidP="000B2E56">
            <w:pPr>
              <w:pStyle w:val="ListBullet"/>
            </w:pPr>
            <w:r w:rsidRPr="000B2E56">
              <w:t>shoring and jacking systems</w:t>
            </w:r>
          </w:p>
          <w:p w:rsidR="00000000" w:rsidRPr="000B2E56" w:rsidP="000B2E56">
            <w:pPr>
              <w:pStyle w:val="ListBullet"/>
            </w:pPr>
            <w:r w:rsidRPr="000B2E56">
              <w:t>bridge foundations</w:t>
            </w:r>
          </w:p>
          <w:p w:rsidR="00000000" w:rsidRPr="000B2E56" w:rsidP="000B2E56">
            <w:pPr>
              <w:pStyle w:val="ListBullet"/>
            </w:pPr>
            <w:r w:rsidRPr="000B2E56">
              <w:t>bridge heritage</w:t>
            </w:r>
          </w:p>
          <w:p w:rsidR="00000000" w:rsidRPr="000B2E56" w:rsidP="000B2E56">
            <w:pPr>
              <w:pStyle w:val="ListBullet"/>
            </w:pPr>
            <w:r w:rsidRPr="000B2E56">
              <w:t>equipment types, characteristics, technical capabilities and limitations</w:t>
            </w:r>
          </w:p>
          <w:p w:rsidR="00000000" w:rsidRPr="000B2E56" w:rsidP="000B2E56">
            <w:pPr>
              <w:pStyle w:val="ListBullet"/>
            </w:pPr>
            <w:r w:rsidRPr="000B2E56">
              <w:t>processes for the calculation of material requirements</w:t>
            </w:r>
          </w:p>
          <w:p w:rsidR="00000000" w:rsidRPr="000B2E56" w:rsidP="000B2E56">
            <w:pPr>
              <w:pStyle w:val="ListBullet"/>
            </w:pPr>
            <w:r w:rsidRPr="000B2E56">
              <w:t>operational, maintenance and basic diagnostic procedures</w:t>
            </w:r>
          </w:p>
          <w:p w:rsidR="00000000" w:rsidRPr="000B2E56" w:rsidP="000B2E56">
            <w:pPr>
              <w:pStyle w:val="ListBullet"/>
            </w:pPr>
            <w:r w:rsidRPr="000B2E56">
              <w:t>site isolation and traffic control responsibilities and authorities</w:t>
            </w:r>
          </w:p>
          <w:p w:rsidR="00000000" w:rsidRPr="000B2E56" w:rsidP="000B2E56">
            <w:pPr>
              <w:pStyle w:val="ListBullet"/>
            </w:pPr>
            <w:r w:rsidRPr="000B2E56">
              <w:t>materials safety data sheets and materials handling methods</w:t>
            </w:r>
          </w:p>
          <w:p w:rsidR="00000000" w:rsidRPr="000B2E56" w:rsidP="000B2E56">
            <w:pPr>
              <w:pStyle w:val="ListBullet"/>
            </w:pPr>
            <w:r w:rsidRPr="000B2E56">
              <w:t>quality assuran</w:t>
            </w:r>
            <w:r w:rsidRPr="000B2E56">
              <w:t>ce systems and standards</w:t>
            </w:r>
          </w:p>
          <w:p w:rsidR="00000000" w:rsidRPr="000B2E56" w:rsidP="000B2E56">
            <w:pPr>
              <w:pStyle w:val="ListBullet"/>
            </w:pPr>
            <w:r w:rsidRPr="000B2E56">
              <w:t>JSAs/safe work method statements</w:t>
            </w:r>
          </w:p>
        </w:tc>
      </w:tr>
    </w:tbl>
    <w:p w:rsidR="00000000" w:rsidRPr="000B2E56" w:rsidP="000B2E56">
      <w:pPr>
        <w:pStyle w:val="BodyText"/>
      </w:pPr>
    </w:p>
    <w:p w:rsidR="00000000" w:rsidRPr="000B2E56" w:rsidP="000B2E56">
      <w:pPr>
        <w:pStyle w:val="AllowPageBreak"/>
      </w:pPr>
    </w:p>
    <w:p w:rsidR="00000000" w:rsidRPr="000B2E56" w:rsidP="000B2E56">
      <w:pPr>
        <w:pStyle w:val="Heading1"/>
      </w:pPr>
      <w:bookmarkStart w:id="10" w:name="O_128172"/>
      <w:bookmarkEnd w:id="10"/>
      <w:r w:rsidRPr="000B2E56">
        <w:t>Evidence Guide</w:t>
      </w:r>
    </w:p>
    <w:tbl>
      <w:tblPr>
        <w:tblW w:w="0" w:type="auto"/>
        <w:tblLayout w:type="fixed"/>
        <w:tblCellMar>
          <w:left w:w="62" w:type="dxa"/>
          <w:right w:w="62" w:type="dxa"/>
        </w:tblCellMar>
        <w:tblLook w:val="0000"/>
      </w:tblPr>
      <w:tblGrid>
        <w:gridCol w:w="3448"/>
        <w:gridCol w:w="5074"/>
      </w:tblGrid>
      <w:tr w:rsidTr="00D531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t>The evidence guide provides advice on assessment and must be read in conjunction with the performance criteria, required skills and knowledge, range statement and t</w:t>
            </w:r>
            <w:r w:rsidRPr="000B2E56">
              <w:t>he Assessment Guidelines for the Training Package.</w:t>
            </w:r>
          </w:p>
        </w:tc>
      </w:tr>
      <w:tr w:rsidTr="00D531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p>
        </w:tc>
      </w:tr>
      <w:tr w:rsidTr="00D531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The evidence required to demonstrate competency in this unit must be relevant to worksite operations and satisfy all of the requirements of the performance criteria, required skills and knowledge and the range statement of this unit and include evidence of</w:t>
            </w:r>
            <w:r w:rsidRPr="000B2E56">
              <w:t xml:space="preserve"> the following:</w:t>
            </w:r>
          </w:p>
          <w:p w:rsidR="00000000" w:rsidRPr="000B2E56" w:rsidP="000B2E56">
            <w:pPr>
              <w:pStyle w:val="ListBullet"/>
            </w:pPr>
            <w:r w:rsidRPr="000B2E56">
              <w:t>knowledge of the requirements, procedures and instructions for installation of temporary support members</w:t>
            </w:r>
          </w:p>
          <w:p w:rsidR="00000000" w:rsidRPr="000B2E56" w:rsidP="000B2E56">
            <w:pPr>
              <w:pStyle w:val="ListBullet"/>
            </w:pPr>
            <w:r w:rsidRPr="000B2E56">
              <w:t>implementation of requirements, procedures and techniques for the safe, effective and efficient completion of installation of temporar</w:t>
            </w:r>
            <w:r w:rsidRPr="000B2E56">
              <w:t>y support members</w:t>
            </w:r>
          </w:p>
          <w:p w:rsidR="00000000" w:rsidRPr="000B2E56" w:rsidP="000B2E56">
            <w:pPr>
              <w:pStyle w:val="ListBullet"/>
            </w:pPr>
            <w:r w:rsidRPr="000B2E56">
              <w:t>working with others to undertake and complete the installation of temporary support members that meets all of the required outcomes</w:t>
            </w:r>
          </w:p>
          <w:p w:rsidR="00000000" w:rsidRPr="000B2E56" w:rsidP="000B2E56">
            <w:pPr>
              <w:pStyle w:val="ListBullet"/>
            </w:pPr>
            <w:r w:rsidRPr="000B2E56">
              <w:t>consistent timely completion of the installation of temporary support members that safely, effectively and</w:t>
            </w:r>
            <w:r w:rsidRPr="000B2E56">
              <w:t xml:space="preserve"> efficiently meets the required outcomes</w:t>
            </w:r>
          </w:p>
          <w:p w:rsidR="00000000" w:rsidRPr="000B2E56" w:rsidP="000B2E56">
            <w:pPr>
              <w:pStyle w:val="ListBullet"/>
            </w:pPr>
            <w:r w:rsidRPr="000B2E56">
              <w:t>installation of one temporary pier at least three metres high, including a bed-log and a jacking system</w:t>
            </w:r>
          </w:p>
          <w:p w:rsidR="00000000" w:rsidP="000B2E56">
            <w:pPr>
              <w:pStyle w:val="ListBullet"/>
              <w:rPr>
                <w:lang w:val="en-NZ"/>
              </w:rPr>
            </w:pPr>
            <w:r w:rsidRPr="000B2E56">
              <w:t>installation of at least one temporary girder and fastening to one timber member</w:t>
            </w:r>
          </w:p>
        </w:tc>
      </w:tr>
      <w:tr w:rsidTr="00D531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This unit must be assessed in the context of the work environment. Where personal safety or environmental damage are limiting factors, assessment may occur in a simulated environment provided it is realisti</w:t>
            </w:r>
            <w:r w:rsidRPr="000B2E56">
              <w:t>c and sufficiently rigorous to cover all aspects of workplace performance, including task skills, task management skills, contingency management skills and job role environment skills.</w:t>
            </w:r>
          </w:p>
          <w:p w:rsidR="00000000" w:rsidRPr="000B2E56" w:rsidP="000B2E56">
            <w:pPr>
              <w:pStyle w:val="ListBullet"/>
            </w:pPr>
            <w:r w:rsidRPr="000B2E56">
              <w:t xml:space="preserve">Assessment of this competency requires typical resources normally used </w:t>
            </w:r>
            <w:r w:rsidRPr="000B2E56">
              <w:t xml:space="preserve">in a resources and infrastructure sector environment. Selection and use of resources for particular worksites </w:t>
            </w:r>
            <w:r w:rsidRPr="000B2E56">
              <w:t>may differ due to the site circumstances.</w:t>
            </w:r>
          </w:p>
          <w:p w:rsidR="00000000" w:rsidRPr="000B2E56" w:rsidP="000B2E56">
            <w:pPr>
              <w:pStyle w:val="ListBullet"/>
            </w:pPr>
            <w:r w:rsidRPr="000B2E56">
              <w:t xml:space="preserve">The assessment environment should not disadvantage the participant. For example, language, literacy and </w:t>
            </w:r>
            <w:r w:rsidRPr="000B2E56">
              <w:t>numeracy demands of assessment should not be greater than those required on the job.</w:t>
            </w:r>
          </w:p>
          <w:p w:rsidR="00000000" w:rsidRPr="000B2E56" w:rsidP="000B2E56">
            <w:pPr>
              <w:pStyle w:val="ListBullet"/>
            </w:pPr>
            <w:r w:rsidRPr="000B2E56">
              <w:t>Customisation of assessment and delivery environment to sensitively accommodate cultural diversity.</w:t>
            </w:r>
          </w:p>
          <w:p w:rsidR="00000000" w:rsidRPr="000B2E56" w:rsidP="000B2E56">
            <w:pPr>
              <w:pStyle w:val="ListBullet"/>
            </w:pPr>
            <w:r w:rsidRPr="000B2E56">
              <w:t>Aboriginal people and other people from a non English speaking backgrou</w:t>
            </w:r>
            <w:r w:rsidRPr="000B2E56">
              <w:t>nd may have second language issues.</w:t>
            </w:r>
          </w:p>
          <w:p w:rsidR="00000000" w:rsidP="000B2E56">
            <w:pPr>
              <w:pStyle w:val="ListBullet"/>
              <w:rPr>
                <w:lang w:val="en-NZ"/>
              </w:rPr>
            </w:pPr>
            <w:r w:rsidRPr="000B2E56">
              <w:t>Where applicable, physical resources should include equipment modified for people with disabilities.  Access must be provided to appropriate learning and/or assessment support when required.</w:t>
            </w:r>
          </w:p>
        </w:tc>
      </w:tr>
      <w:tr w:rsidTr="00D531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This un</w:t>
            </w:r>
            <w:r w:rsidRPr="000B2E56">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0B2E56" w:rsidP="000B2E56">
            <w:pPr>
              <w:pStyle w:val="ListBullet"/>
            </w:pPr>
            <w:r w:rsidRPr="000B2E56">
              <w:t>written and/or oral as</w:t>
            </w:r>
            <w:r w:rsidRPr="000B2E56">
              <w:t>sessment of the candidate's required knowledge</w:t>
            </w:r>
          </w:p>
          <w:p w:rsidR="00000000" w:rsidRPr="000B2E56" w:rsidP="000B2E56">
            <w:pPr>
              <w:pStyle w:val="ListBullet"/>
            </w:pPr>
            <w:r w:rsidRPr="000B2E56">
              <w:t>observed, documented and/or first hand testimonial evidence of the candidate's:</w:t>
            </w:r>
          </w:p>
          <w:p w:rsidR="00000000" w:rsidRPr="000B2E56" w:rsidP="000B2E56">
            <w:pPr>
              <w:pStyle w:val="ListBullet2"/>
            </w:pPr>
            <w:r w:rsidRPr="000B2E56">
              <w:t>implementation of appropriate requirement, procedures and techniques for the safe, effective and ef</w:t>
            </w:r>
            <w:r w:rsidRPr="000B2E56">
              <w:t>ficient achievement of required outcomes</w:t>
            </w:r>
          </w:p>
          <w:p w:rsidR="00000000" w:rsidRPr="000B2E56" w:rsidP="000B2E56">
            <w:pPr>
              <w:pStyle w:val="ListBullet2"/>
            </w:pPr>
            <w:r w:rsidRPr="000B2E56">
              <w:t>consistent achievement of required outcomes</w:t>
            </w:r>
          </w:p>
          <w:p w:rsidR="00000000" w:rsidRPr="000B2E56" w:rsidP="000B2E56">
            <w:pPr>
              <w:pStyle w:val="ListBullet"/>
            </w:pPr>
            <w:r w:rsidRPr="000B2E56">
              <w:t>first hand testimonial evidence of the candidate's:</w:t>
            </w:r>
          </w:p>
          <w:p w:rsidR="00000000" w:rsidP="000B2E56">
            <w:pPr>
              <w:pStyle w:val="ListBullet2"/>
              <w:rPr>
                <w:lang w:val="en-NZ"/>
              </w:rPr>
            </w:pPr>
            <w:r w:rsidRPr="000B2E56">
              <w:t>working with others to undertake and complete the installation of temporary support members</w:t>
            </w:r>
          </w:p>
        </w:tc>
      </w:tr>
      <w:tr w:rsidTr="00D531B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Guidance information for</w:t>
            </w:r>
            <w:r w:rsidRPr="000B2E56">
              <w:rPr>
                <w:rStyle w:val="SpecialBold"/>
              </w:rPr>
              <w:t xml:space="preserve">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BodyText"/>
            </w:pPr>
            <w:r w:rsidRPr="000B2E56">
              <w:t>Consult the SkillsDMC User Guide for further information on assessment including access and equity issues.</w:t>
            </w:r>
          </w:p>
        </w:tc>
      </w:tr>
    </w:tbl>
    <w:p w:rsidR="00000000" w:rsidRPr="000B2E56" w:rsidP="000B2E56">
      <w:pPr>
        <w:pStyle w:val="BodyText"/>
      </w:pPr>
    </w:p>
    <w:p w:rsidR="00000000" w:rsidRPr="000B2E56" w:rsidP="000B2E56">
      <w:pPr>
        <w:pStyle w:val="AllowPageBreak"/>
      </w:pPr>
    </w:p>
    <w:p w:rsidR="00000000" w:rsidRPr="000B2E56" w:rsidP="000B2E56">
      <w:pPr>
        <w:pStyle w:val="Heading1"/>
      </w:pPr>
      <w:bookmarkStart w:id="11" w:name="O_128173"/>
      <w:bookmarkEnd w:id="11"/>
      <w:r w:rsidRPr="000B2E56">
        <w:t>Range Statement</w:t>
      </w:r>
    </w:p>
    <w:tbl>
      <w:tblPr>
        <w:tblW w:w="0" w:type="auto"/>
        <w:tblLayout w:type="fixed"/>
        <w:tblCellMar>
          <w:left w:w="62" w:type="dxa"/>
          <w:right w:w="62" w:type="dxa"/>
        </w:tblCellMar>
        <w:tblLook w:val="0000"/>
      </w:tblPr>
      <w:tblGrid>
        <w:gridCol w:w="3449"/>
        <w:gridCol w:w="5073"/>
      </w:tblGrid>
      <w:tr w:rsidTr="00D531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t>The range statement relates to</w:t>
            </w:r>
            <w:r w:rsidRPr="000B2E56">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0B2E56">
              <w:t>th training and assessment (depending on the work situation, needs of the candidate, accessibility of the item, and local industry and regional contexts) may also be included.</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Relevant compliance documentation</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legislative, organisational an</w:t>
            </w:r>
            <w:r w:rsidRPr="000B2E56">
              <w:t>d site requirements and procedures</w:t>
            </w:r>
          </w:p>
          <w:p w:rsidR="00000000" w:rsidRPr="000B2E56" w:rsidP="000B2E56">
            <w:pPr>
              <w:pStyle w:val="ListBullet"/>
            </w:pPr>
            <w:r w:rsidRPr="000B2E56">
              <w:t>manufacturer's guidelines and specifications</w:t>
            </w:r>
          </w:p>
          <w:p w:rsidR="00000000" w:rsidRPr="000B2E56" w:rsidP="000B2E56">
            <w:pPr>
              <w:pStyle w:val="ListBullet"/>
            </w:pPr>
            <w:r w:rsidRPr="000B2E56">
              <w:t>Australian standards</w:t>
            </w:r>
          </w:p>
          <w:p w:rsidR="00000000" w:rsidRPr="000B2E56" w:rsidP="000B2E56">
            <w:pPr>
              <w:pStyle w:val="ListBullet"/>
            </w:pPr>
            <w:r w:rsidRPr="000B2E56">
              <w:t>Employment and workplace relations legislation</w:t>
            </w:r>
          </w:p>
          <w:p w:rsidR="00000000" w:rsidP="000B2E56">
            <w:pPr>
              <w:pStyle w:val="ListBullet"/>
              <w:rPr>
                <w:lang w:val="en-NZ"/>
              </w:rPr>
            </w:pPr>
            <w:r w:rsidRPr="000B2E56">
              <w:t>Equal Employment Opportunity and Disability Discrimination legislation</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Safety requirements</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OHS requirements in accordance with state or territory legislation and regulations, organisational safety policies and procedures, and project safety plan, including protective clothing and equipment, use of tools and equipment, workplace environment and s</w:t>
            </w:r>
            <w:r w:rsidRPr="000B2E56">
              <w:t>afety, handling of materials, use of fire fighting equipment, use of first aid equipment, hazard control and hazardous materials and substances</w:t>
            </w:r>
          </w:p>
          <w:p w:rsidR="00000000" w:rsidRPr="000B2E56" w:rsidP="000B2E56">
            <w:pPr>
              <w:pStyle w:val="ListBullet"/>
            </w:pPr>
            <w:r w:rsidRPr="000B2E56">
              <w:t xml:space="preserve">safe parking practices including ensuring access ways are clear, equipment/machinery is away from overhangs and </w:t>
            </w:r>
            <w:r w:rsidRPr="000B2E56">
              <w:t>refuelling sites, safe distance are kept from excavations, and areas secured from unauthorised access or movement</w:t>
            </w:r>
          </w:p>
          <w:p w:rsidR="00000000" w:rsidRPr="000B2E56" w:rsidP="000B2E56">
            <w:pPr>
              <w:pStyle w:val="ListBullet"/>
            </w:pPr>
            <w:r w:rsidRPr="000B2E56">
              <w:t>safe operating procedures including recognising and preventing hazards associated with uneven/unstable terrain, trees, pits, poles, trip hazar</w:t>
            </w:r>
            <w:r w:rsidRPr="000B2E56">
              <w:t xml:space="preserve">ds, dirt mounds, overhead service lines, bridges, surrounding buildings, obstructions, structures, facilities, dangerous materials, recently filled trenches, other machines, personnel, traffic control, working in proximity to others, worksite visitors and </w:t>
            </w:r>
            <w:r w:rsidRPr="000B2E56">
              <w:t>the public</w:t>
            </w:r>
          </w:p>
          <w:p w:rsidR="00000000" w:rsidRPr="000B2E56" w:rsidP="000B2E56">
            <w:pPr>
              <w:pStyle w:val="ListBullet"/>
            </w:pPr>
            <w:r w:rsidRPr="000B2E56">
              <w:t>recognising hazards and risks including uneven/unstable terrain, trees, fires, overhead and underground services, bridges, buildings, excavations, traffic, embankments, cuttings, structures and hazardous materials</w:t>
            </w:r>
          </w:p>
          <w:p w:rsidR="00000000" w:rsidP="000B2E56">
            <w:pPr>
              <w:pStyle w:val="ListBullet"/>
              <w:rPr>
                <w:lang w:val="en-NZ"/>
              </w:rPr>
            </w:pPr>
            <w:r w:rsidRPr="000B2E56">
              <w:t>emergency procedures related to</w:t>
            </w:r>
            <w:r w:rsidRPr="000B2E56">
              <w:t xml:space="preserve"> equipment operation including emergency shutdown and stopping, extinguishing equipment fires, organisational first aid requirements and evacuation</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Site</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Bullet"/>
              <w:rPr>
                <w:lang w:val="en-NZ"/>
              </w:rPr>
            </w:pPr>
            <w:r w:rsidRPr="000B2E56">
              <w:t>any ground conditions in urban and rural areas</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Signage</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highway traffic signs</w:t>
            </w:r>
          </w:p>
          <w:p w:rsidR="00000000" w:rsidRPr="000B2E56" w:rsidP="000B2E56">
            <w:pPr>
              <w:pStyle w:val="ListBullet"/>
            </w:pPr>
            <w:r w:rsidRPr="000B2E56">
              <w:t>site safety signage</w:t>
            </w:r>
          </w:p>
          <w:p w:rsidR="00000000" w:rsidRPr="000B2E56" w:rsidP="000B2E56">
            <w:pPr>
              <w:pStyle w:val="ListBullet"/>
            </w:pPr>
            <w:r w:rsidRPr="000B2E56">
              <w:t>temporary signage for the benefit of motorists and pedestrians</w:t>
            </w:r>
          </w:p>
          <w:p w:rsidR="00000000" w:rsidRPr="000B2E56" w:rsidP="000B2E56">
            <w:pPr>
              <w:pStyle w:val="ListBullet"/>
            </w:pPr>
            <w:r w:rsidRPr="000B2E56">
              <w:t>barricades</w:t>
            </w:r>
          </w:p>
          <w:p w:rsidR="00000000" w:rsidP="000B2E56">
            <w:pPr>
              <w:pStyle w:val="ListBullet"/>
              <w:rPr>
                <w:lang w:val="en-NZ"/>
              </w:rPr>
            </w:pPr>
            <w:r w:rsidRPr="000B2E56">
              <w:t>traffic conditions signage</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Traffic</w:t>
            </w:r>
            <w:r w:rsidRPr="000B2E56">
              <w:t xml:space="preserve"> conditions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congested urban environments</w:t>
            </w:r>
          </w:p>
          <w:p w:rsidR="00000000" w:rsidRPr="000B2E56" w:rsidP="000B2E56">
            <w:pPr>
              <w:pStyle w:val="ListBullet"/>
            </w:pPr>
            <w:r w:rsidRPr="000B2E56">
              <w:t>low traffic rural areas</w:t>
            </w:r>
          </w:p>
          <w:p w:rsidR="00000000" w:rsidRPr="000B2E56" w:rsidP="000B2E56">
            <w:pPr>
              <w:pStyle w:val="ListBullet"/>
            </w:pPr>
            <w:r w:rsidRPr="000B2E56">
              <w:t>off-road un-trafficked are</w:t>
            </w:r>
            <w:r w:rsidRPr="000B2E56">
              <w:t>as</w:t>
            </w:r>
          </w:p>
          <w:p w:rsidR="00000000" w:rsidRPr="000B2E56" w:rsidP="000B2E56">
            <w:pPr>
              <w:pStyle w:val="ListBullet"/>
            </w:pPr>
            <w:r w:rsidRPr="000B2E56">
              <w:t>pedestrian areas,</w:t>
            </w:r>
          </w:p>
          <w:p w:rsidR="00000000" w:rsidRPr="000B2E56" w:rsidP="000B2E56">
            <w:pPr>
              <w:pStyle w:val="ListBullet"/>
            </w:pPr>
            <w:r w:rsidRPr="000B2E56">
              <w:t>load limits</w:t>
            </w:r>
          </w:p>
          <w:p w:rsidR="00000000" w:rsidP="000B2E56">
            <w:pPr>
              <w:pStyle w:val="ListBullet"/>
              <w:rPr>
                <w:lang w:val="en-NZ"/>
              </w:rPr>
            </w:pPr>
            <w:r w:rsidRPr="000B2E56">
              <w:t>temporary closures</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Tools and equipment</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generators/compressors</w:t>
            </w:r>
          </w:p>
          <w:p w:rsidR="00000000" w:rsidRPr="000B2E56" w:rsidP="000B2E56">
            <w:pPr>
              <w:pStyle w:val="ListBullet"/>
            </w:pPr>
            <w:r w:rsidRPr="000B2E56">
              <w:t>power leads</w:t>
            </w:r>
          </w:p>
          <w:p w:rsidR="00000000" w:rsidRPr="000B2E56" w:rsidP="000B2E56">
            <w:pPr>
              <w:pStyle w:val="ListBullet"/>
            </w:pPr>
            <w:r w:rsidRPr="000B2E56">
              <w:t>drills</w:t>
            </w:r>
          </w:p>
          <w:p w:rsidR="00000000" w:rsidRPr="000B2E56" w:rsidP="000B2E56">
            <w:pPr>
              <w:pStyle w:val="ListBullet"/>
            </w:pPr>
            <w:r w:rsidRPr="000B2E56">
              <w:t>impact wrenches</w:t>
            </w:r>
          </w:p>
          <w:p w:rsidR="00000000" w:rsidRPr="000B2E56" w:rsidP="000B2E56">
            <w:pPr>
              <w:pStyle w:val="ListBullet"/>
            </w:pPr>
            <w:r w:rsidRPr="000B2E56">
              <w:t>shifting spanners</w:t>
            </w:r>
          </w:p>
          <w:p w:rsidR="00000000" w:rsidRPr="000B2E56" w:rsidP="000B2E56">
            <w:pPr>
              <w:pStyle w:val="ListBullet"/>
            </w:pPr>
            <w:r w:rsidRPr="000B2E56">
              <w:t>jacks</w:t>
            </w:r>
          </w:p>
          <w:p w:rsidR="00000000" w:rsidRPr="000B2E56" w:rsidP="000B2E56">
            <w:pPr>
              <w:pStyle w:val="ListBullet"/>
            </w:pPr>
            <w:r w:rsidRPr="000B2E56">
              <w:t>proprietary tools</w:t>
            </w:r>
          </w:p>
          <w:p w:rsidR="00000000" w:rsidRPr="000B2E56" w:rsidP="000B2E56">
            <w:pPr>
              <w:pStyle w:val="ListBullet"/>
            </w:pPr>
            <w:r w:rsidRPr="000B2E56">
              <w:t>pinch bars</w:t>
            </w:r>
          </w:p>
          <w:p w:rsidR="00000000" w:rsidRPr="000B2E56" w:rsidP="000B2E56">
            <w:pPr>
              <w:pStyle w:val="ListBullet"/>
            </w:pPr>
            <w:r w:rsidRPr="000B2E56">
              <w:t>crow bars</w:t>
            </w:r>
          </w:p>
          <w:p w:rsidR="00000000" w:rsidRPr="000B2E56" w:rsidP="000B2E56">
            <w:pPr>
              <w:pStyle w:val="ListBullet"/>
            </w:pPr>
            <w:r w:rsidRPr="000B2E56">
              <w:t>mattocks</w:t>
            </w:r>
          </w:p>
          <w:p w:rsidR="00000000" w:rsidRPr="000B2E56" w:rsidP="000B2E56">
            <w:pPr>
              <w:pStyle w:val="ListBullet"/>
            </w:pPr>
            <w:r w:rsidRPr="000B2E56">
              <w:t>shovels</w:t>
            </w:r>
          </w:p>
          <w:p w:rsidR="00000000" w:rsidRPr="000B2E56" w:rsidP="000B2E56">
            <w:pPr>
              <w:pStyle w:val="ListBullet"/>
            </w:pPr>
            <w:r w:rsidRPr="000B2E56">
              <w:t>sledge hammers</w:t>
            </w:r>
          </w:p>
          <w:p w:rsidR="00000000" w:rsidRPr="000B2E56" w:rsidP="000B2E56">
            <w:pPr>
              <w:pStyle w:val="ListBullet"/>
            </w:pPr>
            <w:r w:rsidRPr="000B2E56">
              <w:t>chainsaws</w:t>
            </w:r>
          </w:p>
          <w:p w:rsidR="00000000" w:rsidRPr="000B2E56" w:rsidP="000B2E56">
            <w:pPr>
              <w:pStyle w:val="ListBullet"/>
            </w:pPr>
            <w:r w:rsidRPr="000B2E56">
              <w:t xml:space="preserve">wedges </w:t>
            </w:r>
          </w:p>
          <w:p w:rsidR="00000000" w:rsidRPr="000B2E56" w:rsidP="000B2E56">
            <w:pPr>
              <w:pStyle w:val="ListBullet"/>
            </w:pPr>
            <w:r w:rsidRPr="000B2E56">
              <w:t>cranes</w:t>
            </w:r>
          </w:p>
          <w:p w:rsidR="00000000" w:rsidRPr="000B2E56" w:rsidP="000B2E56">
            <w:pPr>
              <w:pStyle w:val="ListBullet"/>
            </w:pPr>
            <w:r w:rsidRPr="000B2E56">
              <w:t>back hoes</w:t>
            </w:r>
          </w:p>
          <w:p w:rsidR="00000000" w:rsidP="000B2E56">
            <w:pPr>
              <w:pStyle w:val="ListBullet"/>
              <w:rPr>
                <w:lang w:val="en-NZ"/>
              </w:rPr>
            </w:pPr>
            <w:r w:rsidRPr="000B2E56">
              <w:t>rollers</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Materials</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bolts</w:t>
            </w:r>
          </w:p>
          <w:p w:rsidR="00000000" w:rsidRPr="000B2E56" w:rsidP="000B2E56">
            <w:pPr>
              <w:pStyle w:val="ListBullet"/>
            </w:pPr>
            <w:r w:rsidRPr="000B2E56">
              <w:t xml:space="preserve">nuts and washers </w:t>
            </w:r>
          </w:p>
          <w:p w:rsidR="00000000" w:rsidP="000B2E56">
            <w:pPr>
              <w:pStyle w:val="ListBullet"/>
              <w:rPr>
                <w:lang w:val="en-NZ"/>
              </w:rPr>
            </w:pPr>
            <w:r w:rsidRPr="000B2E56">
              <w:t>steel plate</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Environmental protection requirements</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waste management</w:t>
            </w:r>
          </w:p>
          <w:p w:rsidR="00000000" w:rsidRPr="000B2E56" w:rsidP="000B2E56">
            <w:pPr>
              <w:pStyle w:val="ListBullet"/>
            </w:pPr>
            <w:r w:rsidRPr="000B2E56">
              <w:t>stormwater protection</w:t>
            </w:r>
          </w:p>
          <w:p w:rsidR="00000000" w:rsidRPr="000B2E56" w:rsidP="000B2E56">
            <w:pPr>
              <w:pStyle w:val="ListBullet"/>
            </w:pPr>
            <w:r w:rsidRPr="000B2E56">
              <w:t>noise</w:t>
            </w:r>
          </w:p>
          <w:p w:rsidR="00000000" w:rsidRPr="000B2E56" w:rsidP="000B2E56">
            <w:pPr>
              <w:pStyle w:val="ListBullet"/>
            </w:pPr>
            <w:r w:rsidRPr="000B2E56">
              <w:t>dust</w:t>
            </w:r>
          </w:p>
          <w:p w:rsidR="00000000" w:rsidRPr="000B2E56" w:rsidP="000B2E56">
            <w:pPr>
              <w:pStyle w:val="ListBullet"/>
            </w:pPr>
            <w:r w:rsidRPr="000B2E56">
              <w:t>vibration</w:t>
            </w:r>
          </w:p>
          <w:p w:rsidR="00000000" w:rsidRPr="000B2E56" w:rsidP="000B2E56">
            <w:pPr>
              <w:pStyle w:val="ListBullet"/>
            </w:pPr>
            <w:r w:rsidRPr="000B2E56">
              <w:t>safe use of preservatives</w:t>
            </w:r>
          </w:p>
          <w:p w:rsidR="00000000" w:rsidRPr="000B2E56" w:rsidP="000B2E56">
            <w:pPr>
              <w:pStyle w:val="ListBullet"/>
            </w:pPr>
            <w:r w:rsidRPr="000B2E56">
              <w:t xml:space="preserve">waterway protection </w:t>
            </w:r>
          </w:p>
          <w:p w:rsidR="00000000" w:rsidP="000B2E56">
            <w:pPr>
              <w:pStyle w:val="ListBullet"/>
              <w:rPr>
                <w:lang w:val="en-NZ"/>
              </w:rPr>
            </w:pPr>
            <w:r w:rsidRPr="000B2E56">
              <w:t>clean-up management</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Excavate foundation</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Bullet"/>
              <w:rPr>
                <w:lang w:val="en-NZ"/>
              </w:rPr>
            </w:pPr>
            <w:r w:rsidRPr="000B2E56">
              <w:t>assessing ground for load bearing capacity and shoring capability</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Concrete footing</w:t>
            </w:r>
            <w:r w:rsidRPr="000B2E56">
              <w:t xml:space="preserve"> is to be: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Bullet"/>
              <w:rPr>
                <w:lang w:val="en-NZ"/>
              </w:rPr>
            </w:pPr>
            <w:r w:rsidRPr="000B2E56">
              <w:t>in accordance with specifications and form part of the foundation</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Shoring system</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toms</w:t>
            </w:r>
          </w:p>
          <w:p w:rsidR="00000000" w:rsidRPr="000B2E56" w:rsidP="000B2E56">
            <w:pPr>
              <w:pStyle w:val="ListBullet"/>
            </w:pPr>
            <w:r w:rsidRPr="000B2E56">
              <w:t>props</w:t>
            </w:r>
          </w:p>
          <w:p w:rsidR="00000000" w:rsidP="000B2E56">
            <w:pPr>
              <w:pStyle w:val="ListBullet"/>
              <w:rPr>
                <w:lang w:val="en-NZ"/>
              </w:rPr>
            </w:pPr>
            <w:r w:rsidRPr="000B2E56">
              <w:t>piers</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Restore the bridge</w:t>
            </w:r>
            <w:r w:rsidRPr="000B2E56">
              <w:t>/</w:t>
            </w:r>
            <w:r w:rsidRPr="000B2E56">
              <w:rPr>
                <w:rStyle w:val="SpecialBold"/>
              </w:rPr>
              <w:t>deck level</w:t>
            </w:r>
            <w:r w:rsidRPr="000B2E56">
              <w:t xml:space="preserve"> occurs: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Bullet"/>
              <w:rPr>
                <w:lang w:val="en-NZ"/>
              </w:rPr>
            </w:pPr>
            <w:r w:rsidRPr="000B2E56">
              <w:t>to retain the load during replacement of temporary members</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Braces</w:t>
            </w:r>
            <w:r w:rsidRPr="000B2E56">
              <w:t xml:space="preserve"> are: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ListBullet"/>
              <w:rPr>
                <w:lang w:val="en-NZ"/>
              </w:rPr>
            </w:pPr>
            <w:r w:rsidRPr="000B2E56">
              <w:t>custom designed to rectify a specific fault</w:t>
            </w:r>
          </w:p>
        </w:tc>
      </w:tr>
      <w:tr w:rsidTr="00D531B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E56">
            <w:pPr>
              <w:pStyle w:val="BodyText"/>
              <w:rPr>
                <w:lang w:val="en-NZ"/>
              </w:rPr>
            </w:pPr>
            <w:r w:rsidRPr="000B2E56">
              <w:rPr>
                <w:rStyle w:val="SpecialBold"/>
              </w:rPr>
              <w:t>Supplementary members</w:t>
            </w:r>
            <w:r w:rsidRPr="000B2E56">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E56" w:rsidP="000B2E56">
            <w:pPr>
              <w:pStyle w:val="ListBullet"/>
            </w:pPr>
            <w:r w:rsidRPr="000B2E56">
              <w:t>proprietary shoring systems</w:t>
            </w:r>
          </w:p>
          <w:p w:rsidR="00000000" w:rsidRPr="000B2E56" w:rsidP="000B2E56">
            <w:pPr>
              <w:pStyle w:val="ListBullet"/>
            </w:pPr>
            <w:r w:rsidRPr="000B2E56">
              <w:t>girders</w:t>
            </w:r>
          </w:p>
          <w:p w:rsidR="00000000" w:rsidRPr="000B2E56" w:rsidP="000B2E56">
            <w:pPr>
              <w:pStyle w:val="ListBullet"/>
            </w:pPr>
            <w:r w:rsidRPr="000B2E56">
              <w:t>beams</w:t>
            </w:r>
          </w:p>
        </w:tc>
      </w:tr>
    </w:tbl>
    <w:p w:rsidR="00000000" w:rsidRPr="000B2E56" w:rsidP="000B2E56">
      <w:pPr>
        <w:pStyle w:val="BodyText"/>
      </w:pPr>
    </w:p>
    <w:p w:rsidR="00000000" w:rsidRPr="000B2E56" w:rsidP="000B2E56">
      <w:pPr>
        <w:pStyle w:val="AllowPageBreak"/>
      </w:pPr>
    </w:p>
    <w:p w:rsidR="00000000" w:rsidRPr="000B2E56" w:rsidP="000B2E56">
      <w:pPr>
        <w:pStyle w:val="Heading1"/>
      </w:pPr>
      <w:bookmarkStart w:id="12" w:name="O_128174"/>
      <w:bookmarkEnd w:id="12"/>
      <w:r w:rsidRPr="000B2E56">
        <w:t>Unit Sector(s)</w:t>
      </w:r>
    </w:p>
    <w:p w:rsidR="00000000" w:rsidRPr="000B2E56" w:rsidP="000B2E56">
      <w:pPr>
        <w:pStyle w:val="BodyText"/>
      </w:pPr>
      <w:r w:rsidRPr="000B2E56">
        <w:t>Timber Bridge Construction and Maintenance</w:t>
      </w:r>
    </w:p>
    <w:p w:rsidR="00000000" w:rsidRPr="000B2E56" w:rsidP="000B2E56">
      <w:pPr>
        <w:pStyle w:val="AllowPageBreak"/>
      </w:pPr>
    </w:p>
    <w:p w:rsidR="00000000" w:rsidRPr="000B2E56" w:rsidP="000B2E56">
      <w:pPr>
        <w:pStyle w:val="Heading1"/>
      </w:pPr>
      <w:bookmarkStart w:id="13" w:name="O_161149"/>
      <w:bookmarkEnd w:id="13"/>
      <w:r w:rsidRPr="000B2E56">
        <w:t>Competency field</w:t>
      </w:r>
    </w:p>
    <w:p w:rsidR="00000000" w:rsidRPr="000B2E56" w:rsidP="000B2E56">
      <w:pPr>
        <w:pStyle w:val="BodyText"/>
      </w:pPr>
      <w:r w:rsidRPr="000B2E56">
        <w:t>Refer to Unit Sector(s).</w:t>
      </w:r>
    </w:p>
    <w:p w:rsidR="00000000" w:rsidRPr="000B2E56" w:rsidP="000B2E56">
      <w:pPr>
        <w:pStyle w:val="AllowPageBreak"/>
      </w:pPr>
    </w:p>
    <w:p w:rsidR="00000000" w:rsidRPr="000B2E56" w:rsidP="000B2E56">
      <w:pPr>
        <w:pStyle w:val="Heading1"/>
      </w:pPr>
      <w:bookmarkStart w:id="14" w:name="O_161148"/>
      <w:bookmarkEnd w:id="14"/>
      <w:r w:rsidRPr="000B2E56">
        <w:t>Co-requisite units</w:t>
      </w:r>
    </w:p>
    <w:p w:rsidR="00000000" w:rsidRPr="000B2E56" w:rsidP="000B2E56">
      <w:pPr>
        <w:pStyle w:val="BodyText"/>
      </w:pPr>
      <w:r w:rsidRPr="000B2E56">
        <w:t>Not applicable.</w:t>
      </w:r>
    </w:p>
    <w:p w:rsidR="00000000" w:rsidRPr="000B2E56" w:rsidP="000B2E56"/>
    <w:sectPr w:rsidSect="000B2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1B8" w:rsidP="00D53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B8" w:rsidP="000B2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31B8" w:rsidP="000B2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531B8" w:rsidP="000B2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1B8" w:rsidP="00D531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B8" w:rsidP="000B2E56">
    <w:pPr>
      <w:pStyle w:val="Header"/>
      <w:framePr w:wrap="around"/>
    </w:pPr>
    <w:r>
      <w:fldChar w:fldCharType="begin"/>
    </w:r>
    <w:r>
      <w:instrText xml:space="preserve"> TITLE   \* MERGEFORMAT </w:instrText>
    </w:r>
    <w:r>
      <w:fldChar w:fldCharType="separate"/>
    </w:r>
    <w:r>
      <w:t>RIICTB302A Install temporary support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1B8" w:rsidP="000B2E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62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AC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05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E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E56"/>
    <w:pPr>
      <w:spacing w:before="360" w:after="60"/>
      <w:outlineLvl w:val="0"/>
    </w:pPr>
    <w:rPr>
      <w:sz w:val="32"/>
    </w:rPr>
  </w:style>
  <w:style w:type="paragraph" w:styleId="Heading2">
    <w:name w:val="heading 2"/>
    <w:basedOn w:val="HeadingBase"/>
    <w:next w:val="BodyText"/>
    <w:link w:val="Heading2Char"/>
    <w:qFormat/>
    <w:rsid w:val="000B2E56"/>
    <w:pPr>
      <w:keepLines/>
      <w:spacing w:before="240" w:after="120"/>
      <w:outlineLvl w:val="1"/>
    </w:pPr>
    <w:rPr>
      <w:sz w:val="28"/>
      <w:szCs w:val="40"/>
    </w:rPr>
  </w:style>
  <w:style w:type="paragraph" w:styleId="Heading3">
    <w:name w:val="heading 3"/>
    <w:basedOn w:val="HeadingBase"/>
    <w:next w:val="BodyText"/>
    <w:link w:val="Heading3Char"/>
    <w:qFormat/>
    <w:rsid w:val="000B2E56"/>
    <w:pPr>
      <w:spacing w:before="180" w:after="120"/>
      <w:outlineLvl w:val="2"/>
    </w:pPr>
    <w:rPr>
      <w:spacing w:val="-10"/>
      <w:kern w:val="32"/>
    </w:rPr>
  </w:style>
  <w:style w:type="paragraph" w:styleId="Heading4">
    <w:name w:val="heading 4"/>
    <w:basedOn w:val="HeadingBase"/>
    <w:next w:val="BodyText"/>
    <w:link w:val="Heading4Char"/>
    <w:qFormat/>
    <w:rsid w:val="000B2E56"/>
    <w:pPr>
      <w:spacing w:before="160" w:after="120"/>
      <w:outlineLvl w:val="3"/>
    </w:pPr>
    <w:rPr>
      <w:sz w:val="22"/>
    </w:rPr>
  </w:style>
  <w:style w:type="paragraph" w:styleId="Heading5">
    <w:name w:val="heading 5"/>
    <w:basedOn w:val="HeadingBase"/>
    <w:next w:val="Normal"/>
    <w:link w:val="Heading5Char"/>
    <w:qFormat/>
    <w:rsid w:val="000B2E56"/>
    <w:pPr>
      <w:spacing w:before="80"/>
      <w:outlineLvl w:val="4"/>
    </w:pPr>
    <w:rPr>
      <w:color w:val="918585"/>
      <w:sz w:val="20"/>
    </w:rPr>
  </w:style>
  <w:style w:type="paragraph" w:styleId="Heading6">
    <w:name w:val="heading 6"/>
    <w:basedOn w:val="HeadingBase"/>
    <w:next w:val="Normal"/>
    <w:link w:val="Heading6Char"/>
    <w:qFormat/>
    <w:rsid w:val="000B2E56"/>
    <w:pPr>
      <w:spacing w:before="60"/>
      <w:outlineLvl w:val="5"/>
    </w:pPr>
    <w:rPr>
      <w:color w:val="918585"/>
      <w:sz w:val="20"/>
    </w:rPr>
  </w:style>
  <w:style w:type="paragraph" w:styleId="Heading7">
    <w:name w:val="heading 7"/>
    <w:basedOn w:val="Normal"/>
    <w:next w:val="Normal"/>
    <w:link w:val="Heading7Char"/>
    <w:qFormat/>
    <w:rsid w:val="000B2E56"/>
    <w:pPr>
      <w:ind w:left="720"/>
      <w:outlineLvl w:val="6"/>
    </w:pPr>
    <w:rPr>
      <w:i/>
    </w:rPr>
  </w:style>
  <w:style w:type="paragraph" w:styleId="Heading8">
    <w:name w:val="heading 8"/>
    <w:basedOn w:val="Normal"/>
    <w:next w:val="Normal"/>
    <w:link w:val="Heading8Char"/>
    <w:qFormat/>
    <w:rsid w:val="000B2E56"/>
    <w:pPr>
      <w:ind w:left="720"/>
      <w:outlineLvl w:val="7"/>
    </w:pPr>
    <w:rPr>
      <w:i/>
    </w:rPr>
  </w:style>
  <w:style w:type="paragraph" w:styleId="Heading9">
    <w:name w:val="heading 9"/>
    <w:basedOn w:val="Normal"/>
    <w:next w:val="Normal"/>
    <w:link w:val="Heading9Char"/>
    <w:qFormat/>
    <w:rsid w:val="000B2E56"/>
    <w:pPr>
      <w:ind w:left="720"/>
      <w:outlineLvl w:val="8"/>
    </w:pPr>
    <w:rPr>
      <w:i/>
    </w:rPr>
  </w:style>
  <w:style w:type="character" w:default="1" w:styleId="DefaultParagraphFont">
    <w:name w:val="Default Paragraph Font"/>
    <w:uiPriority w:val="1"/>
    <w:unhideWhenUsed/>
    <w:rsid w:val="000B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E56"/>
  </w:style>
  <w:style w:type="character" w:customStyle="1" w:styleId="Heading1Char">
    <w:name w:val="Heading 1 Char"/>
    <w:basedOn w:val="DefaultParagraphFont"/>
    <w:link w:val="Heading1"/>
    <w:rsid w:val="000B2E56"/>
    <w:rPr>
      <w:rFonts w:ascii="Times New Roman" w:eastAsia="Times New Roman" w:hAnsi="Times New Roman" w:cs="Times New Roman"/>
      <w:b/>
      <w:sz w:val="32"/>
      <w:szCs w:val="20"/>
      <w:lang w:eastAsia="en-US"/>
    </w:rPr>
  </w:style>
  <w:style w:type="paragraph" w:styleId="BodyText">
    <w:name w:val="Body Text"/>
    <w:basedOn w:val="Normal"/>
    <w:link w:val="BodyTextChar"/>
    <w:rsid w:val="000B2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E56"/>
    <w:rPr>
      <w:rFonts w:ascii="Times New Roman" w:eastAsia="Times New Roman" w:hAnsi="Times New Roman" w:cs="Times New Roman"/>
      <w:sz w:val="24"/>
      <w:lang w:val="en-US" w:eastAsia="en-US"/>
    </w:rPr>
  </w:style>
  <w:style w:type="paragraph" w:styleId="Footer">
    <w:name w:val="footer"/>
    <w:basedOn w:val="Normal"/>
    <w:link w:val="FooterChar"/>
    <w:rsid w:val="000B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E56"/>
    <w:rPr>
      <w:rFonts w:ascii="Times New Roman" w:eastAsia="Times New Roman" w:hAnsi="Times New Roman" w:cs="Times New Roman"/>
      <w:sz w:val="16"/>
      <w:lang w:val="en-US" w:eastAsia="en-US"/>
    </w:rPr>
  </w:style>
  <w:style w:type="paragraph" w:styleId="List">
    <w:name w:val="List"/>
    <w:basedOn w:val="BodyText"/>
    <w:next w:val="BodyText"/>
    <w:rsid w:val="000B2E56"/>
    <w:pPr>
      <w:tabs>
        <w:tab w:val="left" w:pos="340"/>
      </w:tabs>
      <w:spacing w:before="60" w:after="60"/>
      <w:ind w:left="340" w:hanging="340"/>
    </w:pPr>
  </w:style>
  <w:style w:type="paragraph" w:styleId="ListBullet">
    <w:name w:val="List Bullet"/>
    <w:basedOn w:val="List"/>
    <w:rsid w:val="000B2E56"/>
    <w:pPr>
      <w:numPr>
        <w:numId w:val="13"/>
      </w:numPr>
      <w:tabs>
        <w:tab w:val="clear" w:pos="340"/>
      </w:tabs>
      <w:spacing w:before="40" w:after="40"/>
    </w:pPr>
  </w:style>
  <w:style w:type="character" w:customStyle="1" w:styleId="SpecialBold">
    <w:name w:val="Special Bold"/>
    <w:basedOn w:val="DefaultParagraphFont"/>
    <w:rsid w:val="000B2E56"/>
    <w:rPr>
      <w:b/>
      <w:spacing w:val="0"/>
    </w:rPr>
  </w:style>
  <w:style w:type="paragraph" w:styleId="ListBullet2">
    <w:name w:val="List Bullet 2"/>
    <w:basedOn w:val="List2"/>
    <w:rsid w:val="000B2E56"/>
    <w:pPr>
      <w:numPr>
        <w:numId w:val="14"/>
      </w:numPr>
      <w:tabs>
        <w:tab w:val="clear" w:pos="680"/>
      </w:tabs>
    </w:pPr>
  </w:style>
  <w:style w:type="paragraph" w:styleId="Header">
    <w:name w:val="header"/>
    <w:basedOn w:val="Normal"/>
    <w:link w:val="HeaderChar"/>
    <w:rsid w:val="000B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E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2E56"/>
    <w:rPr>
      <w:i/>
    </w:rPr>
  </w:style>
  <w:style w:type="paragraph" w:customStyle="1" w:styleId="SuperHeading">
    <w:name w:val="SuperHeading"/>
    <w:basedOn w:val="Normal"/>
    <w:rsid w:val="000B2E56"/>
    <w:pPr>
      <w:spacing w:before="240" w:after="120"/>
      <w:outlineLvl w:val="0"/>
    </w:pPr>
    <w:rPr>
      <w:rFonts w:ascii="Times New Roman" w:hAnsi="Times New Roman"/>
      <w:b/>
      <w:sz w:val="28"/>
    </w:rPr>
  </w:style>
  <w:style w:type="paragraph" w:customStyle="1" w:styleId="AllowPageBreak">
    <w:name w:val="AllowPageBreak"/>
    <w:rsid w:val="000B2E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2E56"/>
    <w:pPr>
      <w:tabs>
        <w:tab w:val="left" w:pos="680"/>
      </w:tabs>
      <w:spacing w:before="60" w:after="60"/>
      <w:ind w:left="680" w:hanging="340"/>
    </w:pPr>
  </w:style>
  <w:style w:type="character" w:customStyle="1" w:styleId="BoldandItalics">
    <w:name w:val="Bold and Italics"/>
    <w:qFormat/>
    <w:rsid w:val="000B2E56"/>
    <w:rPr>
      <w:b/>
      <w:i/>
      <w:u w:val="none"/>
    </w:rPr>
  </w:style>
  <w:style w:type="character" w:customStyle="1" w:styleId="Heading2Char">
    <w:name w:val="Heading 2 Char"/>
    <w:basedOn w:val="DefaultParagraphFont"/>
    <w:link w:val="Heading2"/>
    <w:rsid w:val="000B2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E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E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E56"/>
    <w:rPr>
      <w:rFonts w:ascii="Courier New" w:eastAsia="Times New Roman" w:hAnsi="Courier New" w:cs="Times New Roman"/>
      <w:i/>
      <w:szCs w:val="20"/>
      <w:lang w:val="en-US" w:eastAsia="en-US"/>
    </w:rPr>
  </w:style>
  <w:style w:type="paragraph" w:customStyle="1" w:styleId="HeadingBase">
    <w:name w:val="Heading Base"/>
    <w:rsid w:val="000B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E56"/>
    <w:pPr>
      <w:tabs>
        <w:tab w:val="right" w:leader="dot" w:pos="9072"/>
      </w:tabs>
      <w:ind w:left="567"/>
    </w:pPr>
    <w:rPr>
      <w:szCs w:val="22"/>
    </w:rPr>
  </w:style>
  <w:style w:type="paragraph" w:customStyle="1" w:styleId="TOCBase">
    <w:name w:val="TOC Base"/>
    <w:rsid w:val="000B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E56"/>
    <w:pPr>
      <w:tabs>
        <w:tab w:val="right" w:leader="dot" w:pos="9072"/>
      </w:tabs>
      <w:spacing w:before="40" w:after="40"/>
      <w:ind w:left="284"/>
    </w:pPr>
    <w:rPr>
      <w:rFonts w:ascii="Times New Roman" w:hAnsi="Times New Roman"/>
    </w:rPr>
  </w:style>
  <w:style w:type="paragraph" w:styleId="TOC1">
    <w:name w:val="toc 1"/>
    <w:basedOn w:val="TOCBase"/>
    <w:next w:val="Normal"/>
    <w:rsid w:val="000B2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E56"/>
    <w:pPr>
      <w:spacing w:before="5040"/>
      <w:jc w:val="center"/>
    </w:pPr>
    <w:rPr>
      <w:sz w:val="48"/>
      <w:szCs w:val="72"/>
      <w:lang w:val="en-US"/>
    </w:rPr>
  </w:style>
  <w:style w:type="character" w:customStyle="1" w:styleId="TitleChar">
    <w:name w:val="Title Char"/>
    <w:basedOn w:val="DefaultParagraphFont"/>
    <w:link w:val="Title"/>
    <w:rsid w:val="000B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E56"/>
    <w:pPr>
      <w:tabs>
        <w:tab w:val="left" w:pos="3600"/>
        <w:tab w:val="left" w:pos="3958"/>
      </w:tabs>
    </w:pPr>
  </w:style>
  <w:style w:type="paragraph" w:customStyle="1" w:styleId="Note">
    <w:name w:val="Note"/>
    <w:basedOn w:val="BodyText"/>
    <w:rsid w:val="000B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E56"/>
    <w:pPr>
      <w:framePr w:wrap="auto" w:hAnchor="text" w:y="6049"/>
    </w:pPr>
    <w:rPr>
      <w:color w:val="000000"/>
      <w:sz w:val="40"/>
    </w:rPr>
  </w:style>
  <w:style w:type="paragraph" w:customStyle="1" w:styleId="TOCTitle">
    <w:name w:val="TOCTitle"/>
    <w:basedOn w:val="Heading1"/>
    <w:rsid w:val="000B2E56"/>
    <w:pPr>
      <w:spacing w:after="240"/>
      <w:jc w:val="center"/>
      <w:outlineLvl w:val="9"/>
    </w:pPr>
    <w:rPr>
      <w:caps/>
    </w:rPr>
  </w:style>
  <w:style w:type="paragraph" w:customStyle="1" w:styleId="Version">
    <w:name w:val="Version"/>
    <w:rsid w:val="000B2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E56"/>
    <w:pPr>
      <w:keepNext w:val="0"/>
      <w:tabs>
        <w:tab w:val="right" w:pos="4176"/>
      </w:tabs>
      <w:ind w:left="198" w:hanging="198"/>
    </w:pPr>
    <w:rPr>
      <w:rFonts w:ascii="Garamond" w:hAnsi="Garamond"/>
    </w:rPr>
  </w:style>
  <w:style w:type="paragraph" w:styleId="IndexHeading">
    <w:name w:val="index heading"/>
    <w:basedOn w:val="Normal"/>
    <w:next w:val="Index1"/>
    <w:semiHidden/>
    <w:rsid w:val="000B2E56"/>
    <w:pPr>
      <w:spacing w:before="120" w:after="120"/>
    </w:pPr>
    <w:rPr>
      <w:rFonts w:ascii="Arial" w:hAnsi="Arial"/>
      <w:b/>
      <w:color w:val="918585"/>
      <w:sz w:val="24"/>
    </w:rPr>
  </w:style>
  <w:style w:type="paragraph" w:customStyle="1" w:styleId="Chapter">
    <w:name w:val="Chapter"/>
    <w:basedOn w:val="Normal"/>
    <w:rsid w:val="000B2E56"/>
    <w:pPr>
      <w:spacing w:before="240"/>
    </w:pPr>
    <w:rPr>
      <w:rFonts w:ascii="Times New Roman" w:hAnsi="Times New Roman"/>
      <w:smallCaps/>
      <w:spacing w:val="80"/>
      <w:sz w:val="28"/>
    </w:rPr>
  </w:style>
  <w:style w:type="paragraph" w:customStyle="1" w:styleId="InChapter">
    <w:name w:val="InChapter"/>
    <w:basedOn w:val="Heading3"/>
    <w:rsid w:val="000B2E56"/>
    <w:pPr>
      <w:spacing w:after="240"/>
      <w:outlineLvl w:val="9"/>
    </w:pPr>
    <w:rPr>
      <w:noProof/>
    </w:rPr>
  </w:style>
  <w:style w:type="paragraph" w:styleId="Index2">
    <w:name w:val="index 2"/>
    <w:basedOn w:val="Normal"/>
    <w:next w:val="Normal"/>
    <w:semiHidden/>
    <w:rsid w:val="000B2E56"/>
    <w:pPr>
      <w:tabs>
        <w:tab w:val="right" w:pos="4176"/>
      </w:tabs>
      <w:ind w:left="568" w:hanging="284"/>
    </w:pPr>
    <w:rPr>
      <w:rFonts w:ascii="Garamond" w:hAnsi="Garamond"/>
    </w:rPr>
  </w:style>
  <w:style w:type="paragraph" w:customStyle="1" w:styleId="Byline">
    <w:name w:val="Byline"/>
    <w:rsid w:val="000B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E56"/>
    <w:pPr>
      <w:tabs>
        <w:tab w:val="clear" w:pos="3600"/>
        <w:tab w:val="clear" w:pos="3958"/>
      </w:tabs>
      <w:jc w:val="right"/>
    </w:pPr>
  </w:style>
  <w:style w:type="paragraph" w:styleId="Caption">
    <w:name w:val="caption"/>
    <w:basedOn w:val="BodyText"/>
    <w:next w:val="Normal"/>
    <w:qFormat/>
    <w:rsid w:val="000B2E56"/>
    <w:pPr>
      <w:framePr w:w="2268" w:hSpace="181" w:vSpace="181" w:wrap="around" w:vAnchor="text" w:hAnchor="page" w:x="1135" w:y="285" w:anchorLock="1"/>
    </w:pPr>
    <w:rPr>
      <w:i/>
    </w:rPr>
  </w:style>
  <w:style w:type="paragraph" w:customStyle="1" w:styleId="MiniTOCTitle">
    <w:name w:val="MiniTOCTitle"/>
    <w:basedOn w:val="Heading4"/>
    <w:rsid w:val="000B2E56"/>
    <w:pPr>
      <w:spacing w:before="240"/>
      <w:outlineLvl w:val="9"/>
    </w:pPr>
    <w:rPr>
      <w:noProof/>
      <w:sz w:val="24"/>
    </w:rPr>
  </w:style>
  <w:style w:type="paragraph" w:customStyle="1" w:styleId="MiniTOCItem">
    <w:name w:val="MiniTOCItem"/>
    <w:basedOn w:val="ListBullet"/>
    <w:rsid w:val="000B2E56"/>
    <w:pPr>
      <w:numPr>
        <w:numId w:val="0"/>
      </w:numPr>
      <w:tabs>
        <w:tab w:val="right" w:leader="dot" w:pos="6521"/>
      </w:tabs>
      <w:spacing w:before="0" w:after="0"/>
    </w:pPr>
  </w:style>
  <w:style w:type="paragraph" w:customStyle="1" w:styleId="TOFTitle">
    <w:name w:val="TOFTitle"/>
    <w:basedOn w:val="TOCTitle"/>
    <w:rsid w:val="000B2E56"/>
  </w:style>
  <w:style w:type="paragraph" w:styleId="TableofFigures">
    <w:name w:val="table of figures"/>
    <w:basedOn w:val="Normal"/>
    <w:next w:val="Normal"/>
    <w:semiHidden/>
    <w:rsid w:val="000B2E56"/>
    <w:pPr>
      <w:tabs>
        <w:tab w:val="right" w:leader="dot" w:pos="9072"/>
      </w:tabs>
      <w:ind w:left="970" w:hanging="403"/>
    </w:pPr>
    <w:rPr>
      <w:rFonts w:ascii="Times New Roman" w:hAnsi="Times New Roman"/>
      <w:b/>
    </w:rPr>
  </w:style>
  <w:style w:type="paragraph" w:styleId="ListNumber">
    <w:name w:val="List Number"/>
    <w:basedOn w:val="List"/>
    <w:rsid w:val="000B2E56"/>
    <w:pPr>
      <w:numPr>
        <w:numId w:val="11"/>
      </w:numPr>
    </w:pPr>
  </w:style>
  <w:style w:type="character" w:customStyle="1" w:styleId="WingdingSymbols">
    <w:name w:val="Wingding Symbols"/>
    <w:rsid w:val="000B2E56"/>
    <w:rPr>
      <w:rFonts w:ascii="Wingdings" w:hAnsi="Wingdings"/>
    </w:rPr>
  </w:style>
  <w:style w:type="paragraph" w:customStyle="1" w:styleId="TableHeading">
    <w:name w:val="Table Heading"/>
    <w:basedOn w:val="HeadingBase"/>
    <w:rsid w:val="000B2E56"/>
    <w:pPr>
      <w:keepLines/>
      <w:pBdr>
        <w:bottom w:val="single" w:sz="6" w:space="1" w:color="918585"/>
      </w:pBdr>
      <w:spacing w:before="240"/>
    </w:pPr>
  </w:style>
  <w:style w:type="character" w:customStyle="1" w:styleId="HotSpot">
    <w:name w:val="HotSpot"/>
    <w:rsid w:val="000B2E56"/>
    <w:rPr>
      <w:color w:val="0033CC"/>
      <w:u w:val="none"/>
    </w:rPr>
  </w:style>
  <w:style w:type="paragraph" w:customStyle="1" w:styleId="BodyTextRight">
    <w:name w:val="Body Text Right"/>
    <w:basedOn w:val="BodyText"/>
    <w:rsid w:val="000B2E56"/>
    <w:pPr>
      <w:spacing w:before="0" w:after="0"/>
      <w:jc w:val="right"/>
    </w:pPr>
  </w:style>
  <w:style w:type="paragraph" w:styleId="Index3">
    <w:name w:val="index 3"/>
    <w:basedOn w:val="ListNumber2"/>
    <w:next w:val="Normal"/>
    <w:semiHidden/>
    <w:rsid w:val="000B2E56"/>
    <w:pPr>
      <w:numPr>
        <w:numId w:val="0"/>
      </w:numPr>
      <w:tabs>
        <w:tab w:val="right" w:leader="dot" w:pos="4176"/>
      </w:tabs>
    </w:pPr>
  </w:style>
  <w:style w:type="paragraph" w:styleId="ListNumber2">
    <w:name w:val="List Number 2"/>
    <w:basedOn w:val="List2"/>
    <w:rsid w:val="000B2E56"/>
    <w:pPr>
      <w:numPr>
        <w:numId w:val="10"/>
      </w:numPr>
      <w:tabs>
        <w:tab w:val="clear" w:pos="1060"/>
      </w:tabs>
    </w:pPr>
  </w:style>
  <w:style w:type="paragraph" w:customStyle="1" w:styleId="MarginNote">
    <w:name w:val="Margin Note"/>
    <w:basedOn w:val="BodyText"/>
    <w:rsid w:val="000B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E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E56"/>
    <w:rPr>
      <w:sz w:val="32"/>
    </w:rPr>
  </w:style>
  <w:style w:type="paragraph" w:customStyle="1" w:styleId="HeadingProcedure">
    <w:name w:val="Heading Procedure"/>
    <w:basedOn w:val="HeadingBase"/>
    <w:next w:val="Normal"/>
    <w:rsid w:val="000B2E56"/>
    <w:pPr>
      <w:tabs>
        <w:tab w:val="left" w:pos="0"/>
      </w:tabs>
      <w:spacing w:before="120" w:after="60"/>
    </w:pPr>
    <w:rPr>
      <w:i/>
      <w:color w:val="918585"/>
      <w:sz w:val="22"/>
    </w:rPr>
  </w:style>
  <w:style w:type="paragraph" w:customStyle="1" w:styleId="TableBodyText">
    <w:name w:val="Table Body Text"/>
    <w:basedOn w:val="BodyText"/>
    <w:rsid w:val="000B2E56"/>
    <w:pPr>
      <w:spacing w:before="60" w:after="60"/>
    </w:pPr>
  </w:style>
  <w:style w:type="paragraph" w:styleId="ListContinue">
    <w:name w:val="List Continue"/>
    <w:basedOn w:val="List"/>
    <w:rsid w:val="000B2E56"/>
    <w:pPr>
      <w:ind w:firstLine="0"/>
    </w:pPr>
  </w:style>
  <w:style w:type="paragraph" w:customStyle="1" w:styleId="ListNote">
    <w:name w:val="List Note"/>
    <w:basedOn w:val="List"/>
    <w:rsid w:val="000B2E56"/>
    <w:pPr>
      <w:pBdr>
        <w:top w:val="single" w:sz="6" w:space="2" w:color="918585"/>
        <w:bottom w:val="single" w:sz="6" w:space="2" w:color="918585"/>
      </w:pBdr>
      <w:tabs>
        <w:tab w:val="left" w:pos="1021"/>
      </w:tabs>
      <w:ind w:firstLine="0"/>
    </w:pPr>
  </w:style>
  <w:style w:type="paragraph" w:customStyle="1" w:styleId="Warning">
    <w:name w:val="Warning"/>
    <w:basedOn w:val="BodyText"/>
    <w:rsid w:val="000B2E56"/>
    <w:pPr>
      <w:shd w:val="clear" w:color="auto" w:fill="D9D9D9"/>
      <w:tabs>
        <w:tab w:val="left" w:pos="992"/>
      </w:tabs>
      <w:ind w:left="119" w:right="119"/>
    </w:pPr>
    <w:rPr>
      <w:sz w:val="20"/>
    </w:rPr>
  </w:style>
  <w:style w:type="paragraph" w:customStyle="1" w:styleId="MarginIcons">
    <w:name w:val="Margin Icons"/>
    <w:basedOn w:val="BodyText"/>
    <w:rsid w:val="000B2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E56"/>
    <w:rPr>
      <w:rFonts w:ascii="Courier New" w:hAnsi="Courier New"/>
    </w:rPr>
  </w:style>
  <w:style w:type="paragraph" w:customStyle="1" w:styleId="NoteBullet">
    <w:name w:val="Note Bullet"/>
    <w:basedOn w:val="Note"/>
    <w:rsid w:val="000B2E56"/>
    <w:pPr>
      <w:tabs>
        <w:tab w:val="clear" w:pos="680"/>
      </w:tabs>
      <w:spacing w:before="60" w:after="60"/>
    </w:pPr>
  </w:style>
  <w:style w:type="paragraph" w:customStyle="1" w:styleId="SubHeading2">
    <w:name w:val="SubHeading2"/>
    <w:basedOn w:val="HeadingBase"/>
    <w:rsid w:val="000B2E56"/>
    <w:pPr>
      <w:spacing w:before="240" w:after="60"/>
    </w:pPr>
    <w:rPr>
      <w:sz w:val="20"/>
    </w:rPr>
  </w:style>
  <w:style w:type="paragraph" w:customStyle="1" w:styleId="SubHeading1">
    <w:name w:val="SubHeading1"/>
    <w:basedOn w:val="HeadingBase"/>
    <w:rsid w:val="000B2E56"/>
    <w:pPr>
      <w:spacing w:before="240" w:after="60"/>
    </w:pPr>
    <w:rPr>
      <w:color w:val="918585"/>
      <w:sz w:val="22"/>
    </w:rPr>
  </w:style>
  <w:style w:type="paragraph" w:customStyle="1" w:styleId="SideHeading">
    <w:name w:val="Side Heading"/>
    <w:basedOn w:val="HeadingBase"/>
    <w:rsid w:val="000B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E56"/>
    <w:pPr>
      <w:numPr>
        <w:numId w:val="12"/>
      </w:numPr>
    </w:pPr>
  </w:style>
  <w:style w:type="paragraph" w:styleId="PlainText">
    <w:name w:val="Plain Text"/>
    <w:basedOn w:val="Normal"/>
    <w:link w:val="PlainTextChar"/>
    <w:rsid w:val="000B2E56"/>
    <w:rPr>
      <w:sz w:val="20"/>
    </w:rPr>
  </w:style>
  <w:style w:type="character" w:customStyle="1" w:styleId="PlainTextChar">
    <w:name w:val="Plain Text Char"/>
    <w:basedOn w:val="DefaultParagraphFont"/>
    <w:link w:val="PlainText"/>
    <w:rsid w:val="000B2E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2E56"/>
    <w:rPr>
      <w:b/>
      <w:smallCaps/>
    </w:rPr>
  </w:style>
  <w:style w:type="paragraph" w:customStyle="1" w:styleId="TableListNumber">
    <w:name w:val="Table List Number"/>
    <w:basedOn w:val="ListNumber"/>
    <w:rsid w:val="000B2E56"/>
    <w:pPr>
      <w:numPr>
        <w:numId w:val="0"/>
      </w:numPr>
    </w:pPr>
  </w:style>
  <w:style w:type="paragraph" w:styleId="TOC4">
    <w:name w:val="toc 4"/>
    <w:basedOn w:val="TOCBase"/>
    <w:next w:val="Normal"/>
    <w:semiHidden/>
    <w:rsid w:val="000B2E56"/>
    <w:pPr>
      <w:tabs>
        <w:tab w:val="right" w:leader="dot" w:pos="9071"/>
      </w:tabs>
      <w:ind w:left="1701"/>
    </w:pPr>
  </w:style>
  <w:style w:type="paragraph" w:customStyle="1" w:styleId="ListAlpha">
    <w:name w:val="List Alpha"/>
    <w:basedOn w:val="List"/>
    <w:rsid w:val="000B2E56"/>
    <w:pPr>
      <w:numPr>
        <w:numId w:val="9"/>
      </w:numPr>
    </w:pPr>
  </w:style>
  <w:style w:type="paragraph" w:customStyle="1" w:styleId="ListAlpha2">
    <w:name w:val="List Alpha 2"/>
    <w:basedOn w:val="List2"/>
    <w:rsid w:val="000B2E56"/>
    <w:pPr>
      <w:numPr>
        <w:numId w:val="8"/>
      </w:numPr>
    </w:pPr>
  </w:style>
  <w:style w:type="paragraph" w:styleId="List3">
    <w:name w:val="List 3"/>
    <w:basedOn w:val="BodyText"/>
    <w:rsid w:val="000B2E56"/>
    <w:pPr>
      <w:tabs>
        <w:tab w:val="left" w:pos="1021"/>
      </w:tabs>
      <w:spacing w:before="60" w:after="60"/>
      <w:ind w:left="1020" w:hanging="340"/>
    </w:pPr>
  </w:style>
  <w:style w:type="paragraph" w:styleId="List4">
    <w:name w:val="List 4"/>
    <w:basedOn w:val="BodyText"/>
    <w:rsid w:val="000B2E56"/>
    <w:pPr>
      <w:tabs>
        <w:tab w:val="left" w:pos="1361"/>
      </w:tabs>
      <w:spacing w:before="60" w:after="60"/>
      <w:ind w:left="1361" w:hanging="340"/>
    </w:pPr>
  </w:style>
  <w:style w:type="paragraph" w:styleId="List5">
    <w:name w:val="List 5"/>
    <w:basedOn w:val="BodyText"/>
    <w:rsid w:val="000B2E56"/>
    <w:pPr>
      <w:tabs>
        <w:tab w:val="left" w:pos="1701"/>
      </w:tabs>
      <w:spacing w:before="60" w:after="60"/>
      <w:ind w:left="1701" w:hanging="340"/>
    </w:pPr>
  </w:style>
  <w:style w:type="paragraph" w:styleId="ListBullet3">
    <w:name w:val="List Bullet 3"/>
    <w:basedOn w:val="List3"/>
    <w:rsid w:val="000B2E56"/>
    <w:pPr>
      <w:numPr>
        <w:numId w:val="15"/>
      </w:numPr>
      <w:tabs>
        <w:tab w:val="clear" w:pos="1021"/>
      </w:tabs>
      <w:ind w:left="1037" w:hanging="357"/>
    </w:pPr>
  </w:style>
  <w:style w:type="paragraph" w:styleId="ListBullet4">
    <w:name w:val="List Bullet 4"/>
    <w:basedOn w:val="List4"/>
    <w:rsid w:val="000B2E56"/>
    <w:pPr>
      <w:numPr>
        <w:numId w:val="3"/>
      </w:numPr>
    </w:pPr>
  </w:style>
  <w:style w:type="paragraph" w:styleId="ListBullet5">
    <w:name w:val="List Bullet 5"/>
    <w:basedOn w:val="List5"/>
    <w:rsid w:val="000B2E56"/>
    <w:pPr>
      <w:numPr>
        <w:numId w:val="4"/>
      </w:numPr>
    </w:pPr>
  </w:style>
  <w:style w:type="paragraph" w:styleId="ListContinue2">
    <w:name w:val="List Continue 2"/>
    <w:basedOn w:val="List2"/>
    <w:rsid w:val="000B2E56"/>
    <w:pPr>
      <w:ind w:firstLine="0"/>
    </w:pPr>
  </w:style>
  <w:style w:type="paragraph" w:styleId="ListContinue3">
    <w:name w:val="List Continue 3"/>
    <w:basedOn w:val="List3"/>
    <w:rsid w:val="000B2E56"/>
    <w:pPr>
      <w:ind w:left="1021" w:firstLine="0"/>
    </w:pPr>
  </w:style>
  <w:style w:type="paragraph" w:styleId="ListContinue4">
    <w:name w:val="List Continue 4"/>
    <w:basedOn w:val="List4"/>
    <w:rsid w:val="000B2E56"/>
    <w:pPr>
      <w:ind w:firstLine="0"/>
    </w:pPr>
  </w:style>
  <w:style w:type="paragraph" w:styleId="ListContinue5">
    <w:name w:val="List Continue 5"/>
    <w:basedOn w:val="List5"/>
    <w:rsid w:val="000B2E56"/>
    <w:pPr>
      <w:ind w:firstLine="0"/>
    </w:pPr>
  </w:style>
  <w:style w:type="paragraph" w:styleId="ListNumber3">
    <w:name w:val="List Number 3"/>
    <w:basedOn w:val="List3"/>
    <w:rsid w:val="000B2E56"/>
    <w:pPr>
      <w:numPr>
        <w:numId w:val="5"/>
      </w:numPr>
    </w:pPr>
  </w:style>
  <w:style w:type="paragraph" w:styleId="ListNumber4">
    <w:name w:val="List Number 4"/>
    <w:basedOn w:val="List4"/>
    <w:rsid w:val="000B2E56"/>
    <w:pPr>
      <w:numPr>
        <w:numId w:val="6"/>
      </w:numPr>
    </w:pPr>
  </w:style>
  <w:style w:type="paragraph" w:styleId="ListNumber5">
    <w:name w:val="List Number 5"/>
    <w:basedOn w:val="List5"/>
    <w:rsid w:val="000B2E56"/>
    <w:pPr>
      <w:numPr>
        <w:numId w:val="7"/>
      </w:numPr>
    </w:pPr>
  </w:style>
  <w:style w:type="paragraph" w:styleId="BlockText">
    <w:name w:val="Block Text"/>
    <w:basedOn w:val="Normal"/>
    <w:rsid w:val="000B2E56"/>
    <w:pPr>
      <w:spacing w:after="120"/>
      <w:ind w:left="1440" w:right="1440"/>
    </w:pPr>
  </w:style>
  <w:style w:type="character" w:customStyle="1" w:styleId="Subscript">
    <w:name w:val="Subscript"/>
    <w:basedOn w:val="DefaultParagraphFont"/>
    <w:rsid w:val="000B2E56"/>
    <w:rPr>
      <w:sz w:val="16"/>
      <w:vertAlign w:val="subscript"/>
    </w:rPr>
  </w:style>
  <w:style w:type="character" w:customStyle="1" w:styleId="Superscript">
    <w:name w:val="Superscript"/>
    <w:basedOn w:val="DefaultParagraphFont"/>
    <w:rsid w:val="000B2E56"/>
    <w:rPr>
      <w:sz w:val="16"/>
      <w:vertAlign w:val="superscript"/>
    </w:rPr>
  </w:style>
  <w:style w:type="character" w:customStyle="1" w:styleId="Symbols">
    <w:name w:val="Symbols"/>
    <w:basedOn w:val="DefaultParagraphFont"/>
    <w:rsid w:val="000B2E56"/>
    <w:rPr>
      <w:rFonts w:ascii="Symbol" w:hAnsi="Symbol"/>
    </w:rPr>
  </w:style>
  <w:style w:type="character" w:customStyle="1" w:styleId="MenuOptions">
    <w:name w:val="Menu Options"/>
    <w:basedOn w:val="DefaultParagraphFont"/>
    <w:rsid w:val="000B2E56"/>
    <w:rPr>
      <w:rFonts w:ascii="Arial Narrow" w:hAnsi="Arial Narrow"/>
      <w:smallCaps/>
    </w:rPr>
  </w:style>
  <w:style w:type="character" w:customStyle="1" w:styleId="Buttons">
    <w:name w:val="Buttons"/>
    <w:basedOn w:val="DefaultParagraphFont"/>
    <w:rsid w:val="000B2E56"/>
    <w:rPr>
      <w:b/>
    </w:rPr>
  </w:style>
  <w:style w:type="character" w:customStyle="1" w:styleId="Underlined">
    <w:name w:val="Underlined"/>
    <w:basedOn w:val="DefaultParagraphFont"/>
    <w:rsid w:val="000B2E56"/>
    <w:rPr>
      <w:u w:val="single"/>
    </w:rPr>
  </w:style>
  <w:style w:type="paragraph" w:customStyle="1" w:styleId="TableBodyTextRight">
    <w:name w:val="Table Body Text Right"/>
    <w:basedOn w:val="TableBodyText"/>
    <w:rsid w:val="000B2E56"/>
    <w:pPr>
      <w:widowControl w:val="0"/>
      <w:autoSpaceDE w:val="0"/>
      <w:autoSpaceDN w:val="0"/>
      <w:adjustRightInd w:val="0"/>
      <w:jc w:val="right"/>
    </w:pPr>
    <w:rPr>
      <w:rFonts w:cs="Arial"/>
      <w:szCs w:val="18"/>
    </w:rPr>
  </w:style>
  <w:style w:type="paragraph" w:customStyle="1" w:styleId="CopyrightText">
    <w:name w:val="Copyright Text"/>
    <w:basedOn w:val="BodyText"/>
    <w:rsid w:val="000B2E56"/>
    <w:rPr>
      <w:sz w:val="18"/>
    </w:rPr>
  </w:style>
  <w:style w:type="paragraph" w:customStyle="1" w:styleId="BodySmallRight">
    <w:name w:val="Body Small Right"/>
    <w:basedOn w:val="BodyTextRight"/>
    <w:rsid w:val="000B2E56"/>
    <w:rPr>
      <w:sz w:val="18"/>
      <w:szCs w:val="18"/>
    </w:rPr>
  </w:style>
  <w:style w:type="paragraph" w:customStyle="1" w:styleId="MarginEdition">
    <w:name w:val="Margin Edition"/>
    <w:basedOn w:val="MarginNote"/>
    <w:rsid w:val="000B2E56"/>
    <w:pPr>
      <w:spacing w:before="0" w:after="0"/>
    </w:pPr>
    <w:rPr>
      <w:rFonts w:ascii="Times New Roman" w:hAnsi="Times New Roman"/>
      <w:color w:val="999999"/>
    </w:rPr>
  </w:style>
  <w:style w:type="paragraph" w:customStyle="1" w:styleId="Spacer">
    <w:name w:val="Spacer"/>
    <w:basedOn w:val="Normal"/>
    <w:rsid w:val="000B2E56"/>
    <w:rPr>
      <w:sz w:val="2"/>
      <w:szCs w:val="2"/>
    </w:rPr>
  </w:style>
  <w:style w:type="character" w:customStyle="1" w:styleId="Small">
    <w:name w:val="Small"/>
    <w:basedOn w:val="DefaultParagraphFont"/>
    <w:rsid w:val="000B2E56"/>
    <w:rPr>
      <w:sz w:val="16"/>
    </w:rPr>
  </w:style>
  <w:style w:type="paragraph" w:customStyle="1" w:styleId="WideTable">
    <w:name w:val="Wide Table"/>
    <w:basedOn w:val="Normal"/>
    <w:rsid w:val="000B2E56"/>
    <w:pPr>
      <w:ind w:left="-1418"/>
    </w:pPr>
    <w:rPr>
      <w:sz w:val="2"/>
      <w:szCs w:val="2"/>
    </w:rPr>
  </w:style>
  <w:style w:type="character" w:styleId="PageNumber">
    <w:name w:val="page number"/>
    <w:basedOn w:val="DefaultParagraphFont"/>
    <w:rsid w:val="000B2E56"/>
  </w:style>
  <w:style w:type="paragraph" w:styleId="Quote">
    <w:name w:val="Quote"/>
    <w:basedOn w:val="Heading1"/>
    <w:link w:val="QuoteChar"/>
    <w:qFormat/>
    <w:rsid w:val="000B2E56"/>
    <w:rPr>
      <w:b w:val="0"/>
      <w:sz w:val="72"/>
      <w:szCs w:val="72"/>
      <w:lang w:val="en-NZ"/>
    </w:rPr>
  </w:style>
  <w:style w:type="character" w:customStyle="1" w:styleId="QuoteChar">
    <w:name w:val="Quote Char"/>
    <w:basedOn w:val="DefaultParagraphFont"/>
    <w:link w:val="Quote"/>
    <w:rsid w:val="000B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E56"/>
    <w:pPr>
      <w:pageBreakBefore/>
    </w:pPr>
  </w:style>
  <w:style w:type="paragraph" w:customStyle="1" w:styleId="Border">
    <w:name w:val="Border"/>
    <w:basedOn w:val="Normal"/>
    <w:qFormat/>
    <w:rsid w:val="000B2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E56"/>
    <w:rPr>
      <w:b/>
      <w:bCs/>
      <w:i/>
      <w:iCs/>
      <w:color w:val="auto"/>
    </w:rPr>
  </w:style>
  <w:style w:type="paragraph" w:styleId="IntenseQuote">
    <w:name w:val="Intense Quote"/>
    <w:basedOn w:val="Normal"/>
    <w:next w:val="Normal"/>
    <w:link w:val="IntenseQuoteChar"/>
    <w:uiPriority w:val="30"/>
    <w:qFormat/>
    <w:rsid w:val="000B2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E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2E56"/>
    <w:rPr>
      <w:smallCaps/>
      <w:color w:val="auto"/>
      <w:u w:val="single"/>
    </w:rPr>
  </w:style>
  <w:style w:type="character" w:styleId="IntenseReference">
    <w:name w:val="Intense Reference"/>
    <w:basedOn w:val="DefaultParagraphFont"/>
    <w:uiPriority w:val="32"/>
    <w:qFormat/>
    <w:rsid w:val="000B2E56"/>
    <w:rPr>
      <w:b/>
      <w:bCs/>
      <w:smallCaps/>
      <w:color w:val="auto"/>
      <w:spacing w:val="5"/>
      <w:u w:val="single"/>
    </w:rPr>
  </w:style>
  <w:style w:type="paragraph" w:customStyle="1" w:styleId="2ColumnHeading">
    <w:name w:val="2Column Heading"/>
    <w:basedOn w:val="BodyText"/>
    <w:qFormat/>
    <w:rsid w:val="000B2E56"/>
    <w:pPr>
      <w:spacing w:after="60"/>
      <w:ind w:left="-2268"/>
    </w:pPr>
    <w:rPr>
      <w:b/>
    </w:rPr>
  </w:style>
  <w:style w:type="paragraph" w:customStyle="1" w:styleId="Heading1TOC">
    <w:name w:val="Heading1 TOC"/>
    <w:basedOn w:val="Normal"/>
    <w:qFormat/>
    <w:rsid w:val="000B2E56"/>
    <w:pPr>
      <w:spacing w:before="240" w:after="120"/>
    </w:pPr>
    <w:rPr>
      <w:rFonts w:ascii="Times New Roman" w:hAnsi="Times New Roman"/>
      <w:b/>
      <w:sz w:val="32"/>
    </w:rPr>
  </w:style>
  <w:style w:type="paragraph" w:customStyle="1" w:styleId="Heading2TOC">
    <w:name w:val="Heading2 TOC"/>
    <w:basedOn w:val="Normal"/>
    <w:qFormat/>
    <w:rsid w:val="000B2E56"/>
    <w:pPr>
      <w:spacing w:before="240" w:after="60"/>
    </w:pPr>
    <w:rPr>
      <w:rFonts w:ascii="Times New Roman" w:hAnsi="Times New Roman"/>
      <w:b/>
      <w:sz w:val="28"/>
    </w:rPr>
  </w:style>
  <w:style w:type="character" w:customStyle="1" w:styleId="Underline">
    <w:name w:val="Underline"/>
    <w:basedOn w:val="DefaultParagraphFont"/>
    <w:qFormat/>
    <w:rsid w:val="000B2E56"/>
    <w:rPr>
      <w:u w:val="single"/>
    </w:rPr>
  </w:style>
  <w:style w:type="paragraph" w:styleId="BalloonText">
    <w:name w:val="Balloon Text"/>
    <w:basedOn w:val="Normal"/>
    <w:link w:val="BalloonTextChar"/>
    <w:rsid w:val="000B2E56"/>
    <w:rPr>
      <w:rFonts w:ascii="Tahoma" w:hAnsi="Tahoma" w:cs="Tahoma"/>
      <w:sz w:val="16"/>
      <w:szCs w:val="16"/>
    </w:rPr>
  </w:style>
  <w:style w:type="character" w:customStyle="1" w:styleId="BalloonTextChar">
    <w:name w:val="Balloon Text Char"/>
    <w:basedOn w:val="DefaultParagraphFont"/>
    <w:link w:val="BalloonText"/>
    <w:rsid w:val="000B2E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E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10170</Characters>
  <Application>Microsoft Office Word</Application>
  <DocSecurity>0</DocSecurity>
  <Lines>353</Lines>
  <Paragraphs>178</Paragraphs>
  <ScaleCrop>false</ScaleCrop>
  <Company>Author-it Software Corporation Ltd.</Company>
  <LinksUpToDate>false</LinksUpToDate>
  <CharactersWithSpaces>11676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RIICTB302A Install temporary support members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