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5BDA" w:rsidP="00C05BDA">
      <w:pPr>
        <w:pStyle w:val="Title"/>
      </w:pPr>
      <w:r>
        <w:fldChar w:fldCharType="begin"/>
      </w:r>
      <w:r>
        <w:instrText xml:space="preserve"> TITLE   \* MERGEFORMAT </w:instrText>
      </w:r>
      <w:r>
        <w:fldChar w:fldCharType="separate"/>
      </w:r>
      <w:r>
        <w:t>RIICCM210A Install trench support</w:t>
      </w:r>
      <w:r>
        <w:fldChar w:fldCharType="end"/>
      </w:r>
    </w:p>
    <w:p w:rsidR="00C05BDA" w:rsidP="00C05BDA">
      <w:pPr>
        <w:pStyle w:val="Version"/>
        <w:sectPr w:rsidSect="00BC17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7BF" w:rsidP="00BC17BF">
      <w:pPr>
        <w:pStyle w:val="SuperHeading"/>
      </w:pPr>
      <w:r w:rsidRPr="00BC17BF">
        <w:t>RIICCM210A Install trench support</w:t>
      </w:r>
    </w:p>
    <w:p w:rsidR="00000000" w:rsidRPr="00BC17BF" w:rsidP="00BC17BF">
      <w:pPr>
        <w:pStyle w:val="Heading1"/>
      </w:pPr>
      <w:bookmarkStart w:id="1" w:name="O_127359"/>
      <w:bookmarkEnd w:id="1"/>
      <w:r w:rsidRPr="00BC17BF">
        <w:t>Modification History</w:t>
      </w:r>
    </w:p>
    <w:p w:rsidR="00000000" w:rsidRPr="00BC17BF" w:rsidP="00BC17BF">
      <w:pPr>
        <w:pStyle w:val="BodyText"/>
      </w:pPr>
      <w:r w:rsidRPr="00BC17BF">
        <w:t>Not applicable.</w:t>
      </w:r>
    </w:p>
    <w:p w:rsidR="00000000" w:rsidRPr="00BC17BF" w:rsidP="00BC17BF">
      <w:pPr>
        <w:pStyle w:val="AllowPageBreak"/>
      </w:pPr>
    </w:p>
    <w:p w:rsidR="00000000" w:rsidRPr="00BC17BF" w:rsidP="00BC17BF">
      <w:pPr>
        <w:pStyle w:val="Heading1"/>
      </w:pPr>
      <w:bookmarkStart w:id="2" w:name="O_127360"/>
      <w:bookmarkEnd w:id="2"/>
      <w:r w:rsidRPr="00BC17BF">
        <w:t>Unit Descriptor</w:t>
      </w:r>
    </w:p>
    <w:p w:rsidR="00000000" w:rsidRPr="00BC17BF" w:rsidP="00BC17BF">
      <w:pPr>
        <w:pStyle w:val="BodyText"/>
      </w:pPr>
      <w:r w:rsidRPr="00BC17BF">
        <w:t>This unit covers the installation of trench support in the civil construction industry.  It includes planning and preparing, install</w:t>
      </w:r>
      <w:r w:rsidRPr="00BC17BF">
        <w:t>ing trench shoring, removing trench shoring, and cleaning up.  Licensing, legislative, regulatory and certification requirements that apply to this unit can vary between states, territories, and industry sectors.  Relevant information must be sourced prior</w:t>
      </w:r>
      <w:r w:rsidRPr="00BC17BF">
        <w:t xml:space="preserve"> to application of the unit.</w:t>
      </w:r>
    </w:p>
    <w:p w:rsidR="00000000" w:rsidRPr="00BC17BF" w:rsidP="00BC17BF">
      <w:pPr>
        <w:pStyle w:val="AllowPageBreak"/>
      </w:pPr>
    </w:p>
    <w:p w:rsidR="00000000" w:rsidRPr="00BC17BF" w:rsidP="00BC17BF">
      <w:pPr>
        <w:pStyle w:val="Heading1"/>
      </w:pPr>
      <w:bookmarkStart w:id="3" w:name="O_127361"/>
      <w:bookmarkEnd w:id="3"/>
      <w:r w:rsidRPr="00BC17BF">
        <w:t>Application of the Unit</w:t>
      </w:r>
    </w:p>
    <w:p w:rsidR="00000000" w:rsidRPr="00BC17BF" w:rsidP="00BC17BF">
      <w:pPr>
        <w:pStyle w:val="BodyText"/>
      </w:pPr>
      <w:r w:rsidRPr="00BC17BF">
        <w:t>This unit is appropriate for those working in an operational role at worksites within:</w:t>
      </w:r>
    </w:p>
    <w:p w:rsidR="00000000" w:rsidRPr="00BC17BF" w:rsidP="00BC17BF">
      <w:pPr>
        <w:pStyle w:val="ListBullet"/>
      </w:pPr>
      <w:r w:rsidRPr="00BC17BF">
        <w:t>Civil construction</w:t>
      </w:r>
    </w:p>
    <w:p w:rsidR="00000000" w:rsidRPr="00BC17BF" w:rsidP="00BC17BF">
      <w:pPr>
        <w:pStyle w:val="AllowPageBreak"/>
      </w:pPr>
    </w:p>
    <w:p w:rsidR="00000000" w:rsidRPr="00BC17BF" w:rsidP="00BC17BF">
      <w:pPr>
        <w:pStyle w:val="Heading1"/>
      </w:pPr>
      <w:bookmarkStart w:id="4" w:name="O_127362"/>
      <w:bookmarkEnd w:id="4"/>
      <w:r w:rsidRPr="00BC17BF">
        <w:t>Licensing/Regulatory Information</w:t>
      </w:r>
    </w:p>
    <w:p w:rsidR="00000000" w:rsidRPr="00BC17BF" w:rsidP="00BC17BF">
      <w:pPr>
        <w:pStyle w:val="BodyText"/>
      </w:pPr>
      <w:r w:rsidRPr="00BC17BF">
        <w:t>Refer to Unit Descriptor.</w:t>
      </w:r>
    </w:p>
    <w:p w:rsidR="00000000" w:rsidRPr="00BC17BF" w:rsidP="00BC17BF">
      <w:pPr>
        <w:pStyle w:val="AllowPageBreak"/>
      </w:pPr>
    </w:p>
    <w:p w:rsidR="00000000" w:rsidRPr="00BC17BF" w:rsidP="00BC17BF">
      <w:pPr>
        <w:pStyle w:val="Heading1"/>
      </w:pPr>
      <w:bookmarkStart w:id="5" w:name="O_127364"/>
      <w:bookmarkEnd w:id="5"/>
      <w:r w:rsidRPr="00BC17BF">
        <w:t>Pre-Requisites</w:t>
      </w:r>
    </w:p>
    <w:p w:rsidR="00000000" w:rsidRPr="00BC17BF" w:rsidP="00BC17BF">
      <w:pPr>
        <w:pStyle w:val="BodyText"/>
      </w:pPr>
      <w:r w:rsidRPr="00BC17BF">
        <w:t>Not applicable.</w:t>
      </w:r>
    </w:p>
    <w:p w:rsidR="00000000" w:rsidRPr="00BC17BF" w:rsidP="00BC17BF">
      <w:pPr>
        <w:pStyle w:val="AllowPageBreak"/>
      </w:pPr>
    </w:p>
    <w:p w:rsidR="00000000" w:rsidRPr="00BC17BF" w:rsidP="00BC17BF">
      <w:pPr>
        <w:pStyle w:val="Heading1"/>
      </w:pPr>
      <w:bookmarkStart w:id="6" w:name="O_127363"/>
      <w:bookmarkEnd w:id="6"/>
      <w:r w:rsidRPr="00BC17BF">
        <w:t>Employability Skills Information</w:t>
      </w:r>
    </w:p>
    <w:p w:rsidR="00000000" w:rsidRPr="00BC17BF" w:rsidP="00BC17BF">
      <w:pPr>
        <w:pStyle w:val="BodyText"/>
      </w:pPr>
      <w:r w:rsidRPr="00BC17BF">
        <w:t>This unit contains employability skills.</w:t>
      </w:r>
    </w:p>
    <w:p w:rsidR="00000000" w:rsidRPr="00BC17BF" w:rsidP="00BC17BF">
      <w:pPr>
        <w:pStyle w:val="AllowPageBreak"/>
      </w:pPr>
    </w:p>
    <w:p w:rsidR="00000000" w:rsidRPr="00BC17BF" w:rsidP="00BC17BF">
      <w:pPr>
        <w:pStyle w:val="Heading1"/>
      </w:pPr>
      <w:bookmarkStart w:id="7" w:name="O_127365"/>
      <w:bookmarkEnd w:id="7"/>
      <w:r w:rsidRPr="00BC17BF">
        <w:t>Elements and Performance Criteria Pre-Content</w:t>
      </w:r>
    </w:p>
    <w:tbl>
      <w:tblPr>
        <w:tblW w:w="0" w:type="auto"/>
        <w:tblLayout w:type="fixed"/>
        <w:tblCellMar>
          <w:left w:w="62" w:type="dxa"/>
          <w:right w:w="62" w:type="dxa"/>
        </w:tblCellMar>
        <w:tblLook w:val="0000"/>
      </w:tblPr>
      <w:tblGrid>
        <w:gridCol w:w="2536"/>
        <w:gridCol w:w="5986"/>
      </w:tblGrid>
      <w:tr w:rsidTr="00C05BDA">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BodyText"/>
            </w:pPr>
            <w:r w:rsidRPr="00BC17BF">
              <w:t>Performance criteria describe the performance needed to demonstrate achievement of the element. Where bold italicised text is used, further information is detailed in the required skills and</w:t>
            </w:r>
            <w:r w:rsidRPr="00BC17BF">
              <w:t xml:space="preserve"> knowledge section and the range statement. Assessment of performance is to be consistent with the evidence guide.</w:t>
            </w:r>
          </w:p>
        </w:tc>
      </w:tr>
    </w:tbl>
    <w:p w:rsidR="00000000" w:rsidRPr="00BC17BF" w:rsidP="00BC17BF">
      <w:pPr>
        <w:pStyle w:val="BodyText"/>
      </w:pPr>
    </w:p>
    <w:p w:rsidR="00000000" w:rsidRPr="00BC17BF" w:rsidP="00BC17BF">
      <w:pPr>
        <w:pStyle w:val="AllowPageBreak"/>
      </w:pPr>
    </w:p>
    <w:p w:rsidR="00000000" w:rsidRPr="00BC17BF" w:rsidP="00BC17BF">
      <w:pPr>
        <w:pStyle w:val="Heading1"/>
      </w:pPr>
      <w:bookmarkStart w:id="8" w:name="O_127366"/>
      <w:bookmarkEnd w:id="8"/>
      <w:r w:rsidRPr="00BC17BF">
        <w:t>Elements and Performance Criteria</w:t>
      </w:r>
    </w:p>
    <w:tbl>
      <w:tblPr>
        <w:tblW w:w="0" w:type="auto"/>
        <w:tblLayout w:type="fixed"/>
        <w:tblCellMar>
          <w:left w:w="62" w:type="dxa"/>
          <w:right w:w="62" w:type="dxa"/>
        </w:tblCellMar>
        <w:tblLook w:val="0000"/>
      </w:tblPr>
      <w:tblGrid>
        <w:gridCol w:w="3471"/>
        <w:gridCol w:w="5051"/>
      </w:tblGrid>
      <w:tr w:rsidTr="00C05B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BodyText"/>
            </w:pPr>
            <w:r w:rsidRPr="00BC17B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rPr>
                <w:rStyle w:val="SpecialBold"/>
              </w:rPr>
              <w:t>PERFORMANCE CRITERIA</w:t>
            </w:r>
          </w:p>
        </w:tc>
      </w:tr>
      <w:tr w:rsidTr="00C05B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List"/>
              <w:rPr>
                <w:lang w:val="en-NZ"/>
              </w:rPr>
            </w:pPr>
            <w:r w:rsidRPr="00BC17BF">
              <w:t>1</w:t>
            </w:r>
            <w:r w:rsidRPr="00BC17BF">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List2"/>
            </w:pPr>
            <w:r w:rsidRPr="00BC17BF">
              <w:t>1.1.</w:t>
            </w:r>
            <w:r w:rsidRPr="00BC17BF">
              <w:tab/>
              <w:t xml:space="preserve">Access, interpret and apply </w:t>
            </w:r>
            <w:r w:rsidRPr="00BC17BF">
              <w:rPr>
                <w:rStyle w:val="BoldandItalics"/>
              </w:rPr>
              <w:t>compliance documentation</w:t>
            </w:r>
            <w:r w:rsidRPr="00BC17BF">
              <w:t xml:space="preserve"> relevant to the work activity</w:t>
            </w:r>
          </w:p>
          <w:p w:rsidR="00000000" w:rsidRPr="00BC17BF" w:rsidP="00BC17BF">
            <w:pPr>
              <w:pStyle w:val="List2"/>
            </w:pPr>
            <w:r w:rsidRPr="00BC17BF">
              <w:t>1.2.</w:t>
            </w:r>
            <w:r w:rsidRPr="00BC17BF">
              <w:tab/>
              <w:t xml:space="preserve">Obtain and confirm </w:t>
            </w:r>
            <w:r w:rsidRPr="00BC17BF">
              <w:rPr>
                <w:rStyle w:val="BoldandItalics"/>
              </w:rPr>
              <w:t>safety requirements</w:t>
            </w:r>
            <w:r w:rsidRPr="00BC17BF">
              <w:t xml:space="preserve"> from the site safety plan and organisational policies and procedures, and apply to the allotted task</w:t>
            </w:r>
          </w:p>
          <w:p w:rsidR="00000000" w:rsidRPr="00BC17BF" w:rsidP="00BC17BF">
            <w:pPr>
              <w:pStyle w:val="List2"/>
            </w:pPr>
            <w:r w:rsidRPr="00BC17BF">
              <w:t>1.3.</w:t>
            </w:r>
            <w:r w:rsidRPr="00BC17BF">
              <w:tab/>
              <w:t xml:space="preserve">Identify, obtain and implement </w:t>
            </w:r>
            <w:r w:rsidRPr="00BC17BF">
              <w:rPr>
                <w:rStyle w:val="BoldandItalics"/>
              </w:rPr>
              <w:t>traffic control sign</w:t>
            </w:r>
            <w:r w:rsidRPr="00BC17BF">
              <w:rPr>
                <w:rStyle w:val="BoldandItalics"/>
              </w:rPr>
              <w:t>age</w:t>
            </w:r>
            <w:r w:rsidRPr="00BC17BF">
              <w:t xml:space="preserve"> requirements from the project traffic management plan </w:t>
            </w:r>
          </w:p>
          <w:p w:rsidR="00000000" w:rsidRPr="00BC17BF" w:rsidP="00BC17BF">
            <w:pPr>
              <w:pStyle w:val="List2"/>
            </w:pPr>
            <w:r w:rsidRPr="00BC17BF">
              <w:t>1.4.</w:t>
            </w:r>
            <w:r w:rsidRPr="00BC17BF">
              <w:tab/>
              <w:t xml:space="preserve">Select plant, </w:t>
            </w:r>
            <w:r w:rsidRPr="00BC17BF">
              <w:rPr>
                <w:rStyle w:val="BoldandItalics"/>
              </w:rPr>
              <w:t>tools and equipment</w:t>
            </w:r>
            <w:r w:rsidRPr="00BC17BF">
              <w:t xml:space="preserve"> to carry out tasks consistent with the requirements of the job, check for serviceability and rectify or report any faults </w:t>
            </w:r>
          </w:p>
          <w:p w:rsidR="00000000" w:rsidP="00BC17BF">
            <w:pPr>
              <w:pStyle w:val="List2"/>
              <w:rPr>
                <w:lang w:val="en-NZ"/>
              </w:rPr>
            </w:pPr>
            <w:r w:rsidRPr="00BC17BF">
              <w:t>1.5.</w:t>
            </w:r>
            <w:r w:rsidRPr="00BC17BF">
              <w:tab/>
              <w:t xml:space="preserve">Identify </w:t>
            </w:r>
            <w:r w:rsidRPr="00BC17BF">
              <w:rPr>
                <w:rStyle w:val="BoldandItalics"/>
              </w:rPr>
              <w:t>environmental protection requirements</w:t>
            </w:r>
            <w:r w:rsidRPr="00BC17BF">
              <w:t xml:space="preserve"> from the project environmental management plan, and confirm and apply to the allotted task</w:t>
            </w:r>
          </w:p>
        </w:tc>
      </w:tr>
      <w:tr w:rsidTr="00C05B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List"/>
              <w:rPr>
                <w:lang w:val="en-NZ"/>
              </w:rPr>
            </w:pPr>
            <w:r w:rsidRPr="00BC17BF">
              <w:t>2.</w:t>
            </w:r>
            <w:r w:rsidRPr="00BC17BF">
              <w:tab/>
              <w:t>Install trench shoring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List2"/>
            </w:pPr>
            <w:r w:rsidRPr="00BC17BF">
              <w:t>2.1.</w:t>
            </w:r>
            <w:r w:rsidRPr="00BC17BF">
              <w:tab/>
              <w:t xml:space="preserve">Communicate with plant operator to ensure the </w:t>
            </w:r>
            <w:r w:rsidRPr="00BC17BF">
              <w:rPr>
                <w:rStyle w:val="BoldandItalics"/>
              </w:rPr>
              <w:t>excavation</w:t>
            </w:r>
            <w:r w:rsidRPr="00BC17BF">
              <w:t xml:space="preserve"> of </w:t>
            </w:r>
            <w:r w:rsidRPr="00BC17BF">
              <w:rPr>
                <w:rStyle w:val="BoldandItalics"/>
              </w:rPr>
              <w:t>trenches</w:t>
            </w:r>
            <w:r w:rsidRPr="00BC17BF">
              <w:t xml:space="preserve"> complies with site plan, l</w:t>
            </w:r>
            <w:r w:rsidRPr="00BC17BF">
              <w:t>ine and depth</w:t>
            </w:r>
          </w:p>
          <w:p w:rsidR="00000000" w:rsidRPr="00BC17BF" w:rsidP="00BC17BF">
            <w:pPr>
              <w:pStyle w:val="List2"/>
            </w:pPr>
            <w:r w:rsidRPr="00BC17BF">
              <w:t>2.2.</w:t>
            </w:r>
            <w:r w:rsidRPr="00BC17BF">
              <w:tab/>
              <w:t xml:space="preserve">Determine and prepare </w:t>
            </w:r>
            <w:r w:rsidRPr="00BC17BF">
              <w:rPr>
                <w:rStyle w:val="BoldandItalics"/>
              </w:rPr>
              <w:t>shoring method</w:t>
            </w:r>
          </w:p>
          <w:p w:rsidR="00000000" w:rsidRPr="00BC17BF" w:rsidP="00BC17BF">
            <w:pPr>
              <w:pStyle w:val="List2"/>
            </w:pPr>
            <w:r w:rsidRPr="00BC17BF">
              <w:t>2.3.</w:t>
            </w:r>
            <w:r w:rsidRPr="00BC17BF">
              <w:tab/>
              <w:t xml:space="preserve">Set out positioning of shoring </w:t>
            </w:r>
          </w:p>
          <w:p w:rsidR="00000000" w:rsidRPr="00BC17BF" w:rsidP="00BC17BF">
            <w:pPr>
              <w:pStyle w:val="List2"/>
            </w:pPr>
            <w:r w:rsidRPr="00BC17BF">
              <w:t>2.4.</w:t>
            </w:r>
            <w:r w:rsidRPr="00BC17BF">
              <w:tab/>
              <w:t xml:space="preserve">Position or </w:t>
            </w:r>
            <w:r w:rsidRPr="00BC17BF">
              <w:rPr>
                <w:rStyle w:val="BoldandItalics"/>
              </w:rPr>
              <w:t>erect shoring</w:t>
            </w:r>
            <w:r w:rsidRPr="00BC17BF">
              <w:t xml:space="preserve"> within the trench</w:t>
            </w:r>
          </w:p>
          <w:p w:rsidR="00000000" w:rsidRPr="00BC17BF" w:rsidP="00BC17BF">
            <w:pPr>
              <w:pStyle w:val="List2"/>
            </w:pPr>
            <w:r w:rsidRPr="00BC17BF">
              <w:t>2.5.</w:t>
            </w:r>
            <w:r w:rsidRPr="00BC17BF">
              <w:tab/>
              <w:t>Secure shoring in position and check to ensure structural conformity with regulations</w:t>
            </w:r>
          </w:p>
          <w:p w:rsidR="00000000" w:rsidRPr="00BC17BF" w:rsidP="00BC17BF">
            <w:pPr>
              <w:pStyle w:val="List2"/>
            </w:pPr>
            <w:r w:rsidRPr="00BC17BF">
              <w:t>2.6.</w:t>
            </w:r>
            <w:r w:rsidRPr="00BC17BF">
              <w:tab/>
              <w:t>Clean out excavati</w:t>
            </w:r>
            <w:r w:rsidRPr="00BC17BF">
              <w:t>on out by hand to job requirements</w:t>
            </w:r>
          </w:p>
          <w:p w:rsidR="00000000" w:rsidP="00BC17BF">
            <w:pPr>
              <w:pStyle w:val="List2"/>
              <w:rPr>
                <w:lang w:val="en-NZ"/>
              </w:rPr>
            </w:pPr>
            <w:r w:rsidRPr="00BC17BF">
              <w:t>2.7.</w:t>
            </w:r>
            <w:r w:rsidRPr="00BC17BF">
              <w:tab/>
              <w:t>Provide ladders for access and egress to site safety plan requirements</w:t>
            </w:r>
          </w:p>
        </w:tc>
      </w:tr>
      <w:tr w:rsidTr="00C05B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List"/>
              <w:rPr>
                <w:lang w:val="en-NZ"/>
              </w:rPr>
            </w:pPr>
            <w:r w:rsidRPr="00BC17BF">
              <w:t>3.</w:t>
            </w:r>
            <w:r w:rsidRPr="00BC17BF">
              <w:tab/>
              <w:t>Remove trench shoring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List2"/>
            </w:pPr>
            <w:r w:rsidRPr="00BC17BF">
              <w:t>3.1.</w:t>
            </w:r>
            <w:r w:rsidRPr="00BC17BF">
              <w:tab/>
              <w:t xml:space="preserve">Release jacking mechanisms and remove ladders </w:t>
            </w:r>
          </w:p>
          <w:p w:rsidR="00000000" w:rsidRPr="00BC17BF" w:rsidP="00BC17BF">
            <w:pPr>
              <w:pStyle w:val="List2"/>
            </w:pPr>
            <w:r w:rsidRPr="00BC17BF">
              <w:t>3.2.</w:t>
            </w:r>
            <w:r w:rsidRPr="00BC17BF">
              <w:tab/>
              <w:t>Check shoring and prepare it for lifting from the trench</w:t>
            </w:r>
          </w:p>
          <w:p w:rsidR="00000000" w:rsidP="00BC17BF">
            <w:pPr>
              <w:pStyle w:val="List2"/>
              <w:rPr>
                <w:lang w:val="en-NZ"/>
              </w:rPr>
            </w:pPr>
            <w:r w:rsidRPr="00BC17BF">
              <w:t>3.3.</w:t>
            </w:r>
            <w:r w:rsidRPr="00BC17BF">
              <w:tab/>
            </w:r>
            <w:r w:rsidRPr="00BC17BF">
              <w:t xml:space="preserve">Remove shoring from trench and store it on site </w:t>
            </w:r>
          </w:p>
        </w:tc>
      </w:tr>
      <w:tr w:rsidTr="00C05B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List"/>
              <w:rPr>
                <w:lang w:val="en-NZ"/>
              </w:rPr>
            </w:pPr>
            <w:r w:rsidRPr="00BC17BF">
              <w:t>4.</w:t>
            </w:r>
            <w:r w:rsidRPr="00BC17BF">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List2"/>
            </w:pPr>
            <w:r w:rsidRPr="00BC17BF">
              <w:t>4.1.</w:t>
            </w:r>
            <w:r w:rsidRPr="00BC17BF">
              <w:tab/>
              <w:t>Clear work area and dispose of or recycle materials in accordance with project environmental management plan</w:t>
            </w:r>
          </w:p>
          <w:p w:rsidR="00000000" w:rsidRPr="00BC17BF" w:rsidP="00BC17BF">
            <w:pPr>
              <w:pStyle w:val="List2"/>
            </w:pPr>
            <w:r w:rsidRPr="00BC17BF">
              <w:t>4.2.</w:t>
            </w:r>
            <w:r w:rsidRPr="00BC17BF">
              <w:tab/>
              <w:t xml:space="preserve">Clean, check, maintain and store tools and </w:t>
            </w:r>
            <w:r w:rsidRPr="00BC17BF">
              <w:t>equipment</w:t>
            </w:r>
          </w:p>
        </w:tc>
      </w:tr>
    </w:tbl>
    <w:p w:rsidR="00000000" w:rsidRPr="00BC17BF" w:rsidP="00BC17BF">
      <w:pPr>
        <w:pStyle w:val="BodyText"/>
      </w:pPr>
    </w:p>
    <w:p w:rsidR="00000000" w:rsidRPr="00BC17BF" w:rsidP="00BC17BF">
      <w:pPr>
        <w:pStyle w:val="AllowPageBreak"/>
      </w:pPr>
    </w:p>
    <w:p w:rsidR="00000000" w:rsidRPr="00BC17BF" w:rsidP="00BC17BF">
      <w:pPr>
        <w:pStyle w:val="Heading1"/>
      </w:pPr>
      <w:bookmarkStart w:id="9" w:name="O_127367"/>
      <w:bookmarkEnd w:id="9"/>
      <w:r w:rsidRPr="00BC17BF">
        <w:t>Required Skills and Knowledge</w:t>
      </w:r>
    </w:p>
    <w:tbl>
      <w:tblPr>
        <w:tblW w:w="0" w:type="auto"/>
        <w:tblLayout w:type="fixed"/>
        <w:tblCellMar>
          <w:left w:w="62" w:type="dxa"/>
          <w:right w:w="62" w:type="dxa"/>
        </w:tblCellMar>
        <w:tblLook w:val="0000"/>
      </w:tblPr>
      <w:tblGrid>
        <w:gridCol w:w="8522"/>
      </w:tblGrid>
      <w:tr w:rsidTr="00C05B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t>This section describes the skills and knowledge required for this unit.</w:t>
            </w:r>
          </w:p>
        </w:tc>
      </w:tr>
      <w:tr w:rsidTr="00C05B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rPr>
                <w:rStyle w:val="SpecialBold"/>
              </w:rPr>
              <w:t>Required skills</w:t>
            </w:r>
          </w:p>
        </w:tc>
      </w:tr>
      <w:tr w:rsidTr="00C05B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BodyText"/>
            </w:pPr>
            <w:r w:rsidRPr="00BC17BF">
              <w:t>Specific skills are required to achieve the Performance Criteria of this unit, particularly for its application in the various circumsta</w:t>
            </w:r>
            <w:r w:rsidRPr="00BC17BF">
              <w:t>nces in which this unit may be used. This includes the ability to carry out the following, as required to install trench shoring:</w:t>
            </w:r>
          </w:p>
          <w:p w:rsidR="00000000" w:rsidRPr="00BC17BF" w:rsidP="00BC17BF">
            <w:pPr>
              <w:pStyle w:val="ListBullet"/>
            </w:pPr>
            <w:r w:rsidRPr="00BC17BF">
              <w:t>apply legislative, organisation and site requirements and procedures for installing trench shoring</w:t>
            </w:r>
          </w:p>
          <w:p w:rsidR="00000000" w:rsidRPr="00BC17BF" w:rsidP="00BC17BF">
            <w:pPr>
              <w:pStyle w:val="ListBullet"/>
            </w:pPr>
            <w:r w:rsidRPr="00BC17BF">
              <w:t>organise work activities</w:t>
            </w:r>
          </w:p>
          <w:p w:rsidR="00000000" w:rsidRPr="00BC17BF" w:rsidP="00BC17BF">
            <w:pPr>
              <w:pStyle w:val="ListBullet"/>
            </w:pPr>
            <w:r w:rsidRPr="00BC17BF">
              <w:t>select and use relevant tools and equipment safely</w:t>
            </w:r>
          </w:p>
          <w:p w:rsidR="00000000" w:rsidRPr="00BC17BF" w:rsidP="00BC17BF">
            <w:pPr>
              <w:pStyle w:val="ListBullet"/>
            </w:pPr>
            <w:r w:rsidRPr="00BC17BF">
              <w:t>identify and report on hazards related to the worksite and work activity</w:t>
            </w:r>
          </w:p>
          <w:p w:rsidR="00000000" w:rsidP="00BC17BF">
            <w:pPr>
              <w:pStyle w:val="ListBullet"/>
              <w:rPr>
                <w:lang w:val="en-NZ"/>
              </w:rPr>
            </w:pPr>
            <w:r w:rsidRPr="00BC17BF">
              <w:t>communicate effectively to receive and clarify work instructions</w:t>
            </w:r>
          </w:p>
        </w:tc>
      </w:tr>
      <w:tr w:rsidTr="00C05B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rPr>
                <w:rStyle w:val="SpecialBold"/>
              </w:rPr>
              <w:t>Required knowledge</w:t>
            </w:r>
          </w:p>
        </w:tc>
      </w:tr>
      <w:tr w:rsidTr="00C05B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BodyText"/>
            </w:pPr>
            <w:r w:rsidRPr="00BC17BF">
              <w:t xml:space="preserve">Specific knowledge is required to achieve the </w:t>
            </w:r>
            <w:r w:rsidRPr="00BC17BF">
              <w:t>Performance Criteria of this unit, particularly for its application in the various circumstances in which this unit may be used. This includes knowledge of the following, as required to install trench support:</w:t>
            </w:r>
          </w:p>
          <w:p w:rsidR="00000000" w:rsidRPr="00BC17BF" w:rsidP="00BC17BF">
            <w:pPr>
              <w:pStyle w:val="ListBullet"/>
            </w:pPr>
            <w:r w:rsidRPr="00BC17BF">
              <w:t>site and equipment safety requirements</w:t>
            </w:r>
          </w:p>
          <w:p w:rsidR="00000000" w:rsidRPr="00BC17BF" w:rsidP="00BC17BF">
            <w:pPr>
              <w:pStyle w:val="ListBullet"/>
            </w:pPr>
            <w:r w:rsidRPr="00BC17BF">
              <w:t>excava</w:t>
            </w:r>
            <w:r w:rsidRPr="00BC17BF">
              <w:t>tion techniques</w:t>
            </w:r>
          </w:p>
          <w:p w:rsidR="00000000" w:rsidRPr="00BC17BF" w:rsidP="00BC17BF">
            <w:pPr>
              <w:pStyle w:val="ListBullet"/>
            </w:pPr>
            <w:r w:rsidRPr="00BC17BF">
              <w:t>shoring methods and systems</w:t>
            </w:r>
          </w:p>
          <w:p w:rsidR="00000000" w:rsidRPr="00BC17BF" w:rsidP="00BC17BF">
            <w:pPr>
              <w:pStyle w:val="ListBullet"/>
            </w:pPr>
            <w:r w:rsidRPr="00BC17BF">
              <w:t>working in confined spaces</w:t>
            </w:r>
          </w:p>
          <w:p w:rsidR="00000000" w:rsidRPr="00BC17BF" w:rsidP="00BC17BF">
            <w:pPr>
              <w:pStyle w:val="ListBullet"/>
            </w:pPr>
            <w:r w:rsidRPr="00BC17BF">
              <w:t>construction techniques</w:t>
            </w:r>
          </w:p>
          <w:p w:rsidR="00000000" w:rsidRPr="00BC17BF" w:rsidP="00BC17BF">
            <w:pPr>
              <w:pStyle w:val="ListBullet"/>
            </w:pPr>
            <w:r w:rsidRPr="00BC17BF">
              <w:t>equipment types, characteristics, technical capabilities and limitations</w:t>
            </w:r>
          </w:p>
          <w:p w:rsidR="00000000" w:rsidRPr="00BC17BF" w:rsidP="00BC17BF">
            <w:pPr>
              <w:pStyle w:val="ListBullet"/>
            </w:pPr>
            <w:r w:rsidRPr="00BC17BF">
              <w:t>operational, maintenance and basic diagnostic procedures</w:t>
            </w:r>
          </w:p>
          <w:p w:rsidR="00000000" w:rsidRPr="00BC17BF" w:rsidP="00BC17BF">
            <w:pPr>
              <w:pStyle w:val="ListBullet"/>
            </w:pPr>
            <w:r w:rsidRPr="00BC17BF">
              <w:t>site isola</w:t>
            </w:r>
            <w:r w:rsidRPr="00BC17BF">
              <w:t>tion and traffic control responsibilities and authorities</w:t>
            </w:r>
          </w:p>
          <w:p w:rsidR="00000000" w:rsidRPr="00BC17BF" w:rsidP="00BC17BF">
            <w:pPr>
              <w:pStyle w:val="ListBullet"/>
            </w:pPr>
            <w:r w:rsidRPr="00BC17BF">
              <w:t>materials safety data sheets and materials handling methods</w:t>
            </w:r>
          </w:p>
          <w:p w:rsidR="00000000" w:rsidRPr="00BC17BF" w:rsidP="00BC17BF">
            <w:pPr>
              <w:pStyle w:val="ListBullet"/>
            </w:pPr>
            <w:r w:rsidRPr="00BC17BF">
              <w:t>project quality requirements</w:t>
            </w:r>
          </w:p>
          <w:p w:rsidR="00000000" w:rsidRPr="00BC17BF" w:rsidP="00BC17BF">
            <w:pPr>
              <w:pStyle w:val="ListBullet"/>
            </w:pPr>
            <w:r w:rsidRPr="00BC17BF">
              <w:t>civil construction terminology</w:t>
            </w:r>
          </w:p>
          <w:p w:rsidR="00000000" w:rsidRPr="00BC17BF" w:rsidP="00BC17BF">
            <w:pPr>
              <w:pStyle w:val="ListBullet"/>
            </w:pPr>
            <w:r w:rsidRPr="00BC17BF">
              <w:t>JSAs/safe work method statement</w:t>
            </w:r>
          </w:p>
        </w:tc>
      </w:tr>
    </w:tbl>
    <w:p w:rsidR="00000000" w:rsidRPr="00BC17BF" w:rsidP="00BC17BF">
      <w:pPr>
        <w:pStyle w:val="BodyText"/>
      </w:pPr>
    </w:p>
    <w:p w:rsidR="00000000" w:rsidRPr="00BC17BF" w:rsidP="00BC17BF">
      <w:pPr>
        <w:pStyle w:val="AllowPageBreak"/>
      </w:pPr>
    </w:p>
    <w:p w:rsidR="00000000" w:rsidRPr="00BC17BF" w:rsidP="00BC17BF">
      <w:pPr>
        <w:pStyle w:val="Heading1"/>
      </w:pPr>
      <w:bookmarkStart w:id="10" w:name="O_127368"/>
      <w:bookmarkEnd w:id="10"/>
      <w:r w:rsidRPr="00BC17BF">
        <w:t>Evidence Guide</w:t>
      </w:r>
    </w:p>
    <w:tbl>
      <w:tblPr>
        <w:tblW w:w="0" w:type="auto"/>
        <w:tblLayout w:type="fixed"/>
        <w:tblCellMar>
          <w:left w:w="62" w:type="dxa"/>
          <w:right w:w="62" w:type="dxa"/>
        </w:tblCellMar>
        <w:tblLook w:val="0000"/>
      </w:tblPr>
      <w:tblGrid>
        <w:gridCol w:w="3448"/>
        <w:gridCol w:w="5074"/>
      </w:tblGrid>
      <w:tr w:rsidTr="00C05B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t>The evidence</w:t>
            </w:r>
            <w:r w:rsidRPr="00BC17BF">
              <w:t xml:space="preserve"> guide provides advice on assessment and must be read in conjunction with the performance criteria, required skills and knowledge, range statement and the Assessment Guidelines for the Training Package.</w:t>
            </w:r>
          </w:p>
        </w:tc>
      </w:tr>
      <w:tr w:rsidTr="00C05BD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p>
        </w:tc>
      </w:tr>
      <w:tr w:rsidTr="00C05BD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BodyText"/>
            </w:pPr>
            <w:r w:rsidRPr="00BC17BF">
              <w:t>The evidence required to demonstrate competency in this unit must be relevant to worksite operations and satisfy all of the requirements of the performance criteri</w:t>
            </w:r>
            <w:r w:rsidRPr="00BC17BF">
              <w:t>a, required skills and knowledge and the range statement of this unit and include evidence of the following:</w:t>
            </w:r>
          </w:p>
          <w:p w:rsidR="00000000" w:rsidRPr="00BC17BF" w:rsidP="00BC17BF">
            <w:pPr>
              <w:pStyle w:val="ListBullet"/>
            </w:pPr>
            <w:r w:rsidRPr="00BC17BF">
              <w:t>knowledge of the requirements, procedures and instructions for installing trench support</w:t>
            </w:r>
          </w:p>
          <w:p w:rsidR="00000000" w:rsidRPr="00BC17BF" w:rsidP="00BC17BF">
            <w:pPr>
              <w:pStyle w:val="ListBullet"/>
            </w:pPr>
            <w:r w:rsidRPr="00BC17BF">
              <w:t>implementation of requirements, procedures and techniques</w:t>
            </w:r>
            <w:r w:rsidRPr="00BC17BF">
              <w:t xml:space="preserve"> for the safe, effective and efficient completion of trench support installation</w:t>
            </w:r>
          </w:p>
          <w:p w:rsidR="00000000" w:rsidRPr="00BC17BF" w:rsidP="00BC17BF">
            <w:pPr>
              <w:pStyle w:val="ListBullet"/>
            </w:pPr>
            <w:r w:rsidRPr="00BC17BF">
              <w:t>working with others to undertake and complete the installation of trench support in a way that meets all of the required outcomes</w:t>
            </w:r>
          </w:p>
          <w:p w:rsidR="00000000" w:rsidRPr="00BC17BF" w:rsidP="00BC17BF">
            <w:pPr>
              <w:pStyle w:val="ListBullet"/>
            </w:pPr>
            <w:r w:rsidRPr="00BC17BF">
              <w:t>consistent timely completion of trench suppor</w:t>
            </w:r>
            <w:r w:rsidRPr="00BC17BF">
              <w:t>t installation that safely, effectively and efficiently meets the required outcomes</w:t>
            </w:r>
          </w:p>
          <w:p w:rsidR="00000000" w:rsidP="00BC17BF">
            <w:pPr>
              <w:pStyle w:val="ListBullet"/>
              <w:rPr>
                <w:lang w:val="en-NZ"/>
              </w:rPr>
            </w:pPr>
            <w:r w:rsidRPr="00BC17BF">
              <w:t>insta</w:t>
            </w:r>
            <w:r w:rsidRPr="00BC17BF">
              <w:t>llation of trench support on two projects in trenches deeper than 1.5 metres requiring the trench support to be installed, moved along or within the trench and removed from the trench</w:t>
            </w:r>
          </w:p>
        </w:tc>
      </w:tr>
      <w:tr w:rsidTr="00C05BD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ListBullet"/>
            </w:pPr>
            <w:r w:rsidRPr="00BC17BF">
              <w:t>This unit must be ass</w:t>
            </w:r>
            <w:r w:rsidRPr="00BC17BF">
              <w:t>essed in the context of the work environment. Where personal safety or environmental damage are limiting factors, assessment may occur in a simulated environment provided it is realistic and sufficiently rigorous to cover all aspects of workplace performan</w:t>
            </w:r>
            <w:r w:rsidRPr="00BC17BF">
              <w:t>ce, including task skills, task management skills, contingency management skills and job role environment skills.</w:t>
            </w:r>
          </w:p>
          <w:p w:rsidR="00000000" w:rsidRPr="00BC17BF" w:rsidP="00BC17BF">
            <w:pPr>
              <w:pStyle w:val="ListBullet"/>
            </w:pPr>
            <w:r w:rsidRPr="00BC17BF">
              <w:t>Assessment of this competency requires typical resources normally used in a resources and infrastructure sector environment. Selection and use</w:t>
            </w:r>
            <w:r w:rsidRPr="00BC17BF">
              <w:t xml:space="preserve"> of resources for particular worksites may differ due to the site circumstances.</w:t>
            </w:r>
          </w:p>
          <w:p w:rsidR="00000000" w:rsidRPr="00BC17BF" w:rsidP="00BC17BF">
            <w:pPr>
              <w:pStyle w:val="ListBullet"/>
            </w:pPr>
            <w:r w:rsidRPr="00BC17BF">
              <w:t>The assessment environment should not disadvantage the participant. For example, language, literacy and numeracy demands of assessment should not be greater than those require</w:t>
            </w:r>
            <w:r w:rsidRPr="00BC17BF">
              <w:t>d on the job.</w:t>
            </w:r>
          </w:p>
          <w:p w:rsidR="00000000" w:rsidRPr="00BC17BF" w:rsidP="00BC17BF">
            <w:pPr>
              <w:pStyle w:val="ListBullet"/>
            </w:pPr>
            <w:r w:rsidRPr="00BC17BF">
              <w:t>Customisation of assessment and delivery environment to sensitively accommodate cultural diversity.</w:t>
            </w:r>
          </w:p>
          <w:p w:rsidR="00000000" w:rsidRPr="00BC17BF" w:rsidP="00BC17BF">
            <w:pPr>
              <w:pStyle w:val="ListBullet"/>
            </w:pPr>
            <w:r w:rsidRPr="00BC17BF">
              <w:t>Aboriginal people and other people from a non English speaking background may have second language issues.</w:t>
            </w:r>
          </w:p>
          <w:p w:rsidR="00000000" w:rsidP="00BC17BF">
            <w:pPr>
              <w:pStyle w:val="ListBullet"/>
              <w:rPr>
                <w:lang w:val="en-NZ"/>
              </w:rPr>
            </w:pPr>
            <w:r w:rsidRPr="00BC17BF">
              <w:t>Where applicable, physical resource</w:t>
            </w:r>
            <w:r w:rsidRPr="00BC17BF">
              <w:t>s should include equipment modified for people with disabilities.  Access must be provided to appropriate learning and/or assessment support when required.</w:t>
            </w:r>
          </w:p>
        </w:tc>
      </w:tr>
      <w:tr w:rsidTr="00C05BD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BodyText"/>
            </w:pPr>
            <w:r w:rsidRPr="00BC17BF">
              <w:t>This unit may be assessed in a holistic way with other units of competency.  T</w:t>
            </w:r>
            <w:r w:rsidRPr="00BC17BF">
              <w:t xml:space="preserve">he assessment strategy for this unit must verify required knowledge and skill and practical application using more than one of the following assessment methods: </w:t>
            </w:r>
          </w:p>
          <w:p w:rsidR="00000000" w:rsidRPr="00BC17BF" w:rsidP="00BC17BF">
            <w:pPr>
              <w:pStyle w:val="ListBullet"/>
            </w:pPr>
            <w:r w:rsidRPr="00BC17BF">
              <w:t>written and/or oral assessment of the candidate's required knowledge</w:t>
            </w:r>
          </w:p>
          <w:p w:rsidR="00000000" w:rsidRPr="00BC17BF" w:rsidP="00BC17BF">
            <w:pPr>
              <w:pStyle w:val="ListBullet"/>
            </w:pPr>
            <w:r w:rsidRPr="00BC17BF">
              <w:t>observed, documented and</w:t>
            </w:r>
            <w:r w:rsidRPr="00BC17BF">
              <w:t>/or first hand testimonial evidence of the candidate's:</w:t>
            </w:r>
          </w:p>
          <w:p w:rsidR="00000000" w:rsidRPr="00BC17BF" w:rsidP="00BC17BF">
            <w:pPr>
              <w:pStyle w:val="ListBullet2"/>
            </w:pPr>
            <w:r w:rsidRPr="00BC17BF">
              <w:t>implementation of appropriate requirement, procedures and techniques for the safe, effective and efficient achievement of required outcomes</w:t>
            </w:r>
          </w:p>
          <w:p w:rsidR="00000000" w:rsidRPr="00BC17BF" w:rsidP="00BC17BF">
            <w:pPr>
              <w:pStyle w:val="ListBullet2"/>
            </w:pPr>
            <w:r w:rsidRPr="00BC17BF">
              <w:t>consistent achievement of required outcomes</w:t>
            </w:r>
          </w:p>
          <w:p w:rsidR="00000000" w:rsidRPr="00BC17BF" w:rsidP="00BC17BF">
            <w:pPr>
              <w:pStyle w:val="ListBullet"/>
            </w:pPr>
            <w:r w:rsidRPr="00BC17BF">
              <w:t>first hand testimonial evidence of the candidate's:</w:t>
            </w:r>
          </w:p>
          <w:p w:rsidR="00000000" w:rsidP="00BC17BF">
            <w:pPr>
              <w:pStyle w:val="ListBullet2"/>
              <w:rPr>
                <w:lang w:val="en-NZ"/>
              </w:rPr>
            </w:pPr>
            <w:r w:rsidRPr="00BC17BF">
              <w:t>working with others to undertake and complete the trench support installation</w:t>
            </w:r>
          </w:p>
        </w:tc>
      </w:tr>
      <w:tr w:rsidTr="00C05BD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BodyText"/>
            </w:pPr>
            <w:r w:rsidRPr="00BC17BF">
              <w:t xml:space="preserve">Consult the SkillsDMC User Guide for further information on assessment including access </w:t>
            </w:r>
            <w:r w:rsidRPr="00BC17BF">
              <w:t>and equity issues.</w:t>
            </w:r>
          </w:p>
        </w:tc>
      </w:tr>
    </w:tbl>
    <w:p w:rsidR="00000000" w:rsidRPr="00BC17BF" w:rsidP="00BC17BF">
      <w:pPr>
        <w:pStyle w:val="BodyText"/>
      </w:pPr>
    </w:p>
    <w:p w:rsidR="00000000" w:rsidRPr="00BC17BF" w:rsidP="00BC17BF">
      <w:pPr>
        <w:pStyle w:val="AllowPageBreak"/>
      </w:pPr>
    </w:p>
    <w:p w:rsidR="00000000" w:rsidRPr="00BC17BF" w:rsidP="00BC17BF">
      <w:pPr>
        <w:pStyle w:val="Heading1"/>
      </w:pPr>
      <w:bookmarkStart w:id="11" w:name="O_127369"/>
      <w:bookmarkEnd w:id="11"/>
      <w:r w:rsidRPr="00BC17BF">
        <w:t>Range Statement</w:t>
      </w:r>
    </w:p>
    <w:tbl>
      <w:tblPr>
        <w:tblW w:w="0" w:type="auto"/>
        <w:tblLayout w:type="fixed"/>
        <w:tblCellMar>
          <w:left w:w="62" w:type="dxa"/>
          <w:right w:w="62" w:type="dxa"/>
        </w:tblCellMar>
        <w:tblLook w:val="0000"/>
      </w:tblPr>
      <w:tblGrid>
        <w:gridCol w:w="3471"/>
        <w:gridCol w:w="5051"/>
      </w:tblGrid>
      <w:tr w:rsidTr="00C05B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t>The range statement relates to the unit of competency as a whole. It allows for different work environments and situations that may affect performan</w:t>
            </w:r>
            <w:r w:rsidRPr="00BC17BF">
              <w:t>ce. Bold italicised wording, if used in the performance criteria, is detailed below. Essential operating conditions that may be present with training and assessment (depending on the work situation, needs of the candidate, accessibility of the item, and lo</w:t>
            </w:r>
            <w:r w:rsidRPr="00BC17BF">
              <w:t>cal industry and regional contexts) may also be included.</w:t>
            </w:r>
          </w:p>
        </w:tc>
      </w:tr>
      <w:tr w:rsidTr="00C05B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rPr>
                <w:rStyle w:val="SpecialBold"/>
              </w:rPr>
              <w:t>Relevant compliance documentation</w:t>
            </w:r>
            <w:r w:rsidRPr="00BC17B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ListBullet"/>
            </w:pPr>
            <w:r w:rsidRPr="00BC17BF">
              <w:t>legislative, organisational and site requirements and procedures</w:t>
            </w:r>
          </w:p>
          <w:p w:rsidR="00000000" w:rsidRPr="00BC17BF" w:rsidP="00BC17BF">
            <w:pPr>
              <w:pStyle w:val="ListBullet"/>
            </w:pPr>
            <w:r w:rsidRPr="00BC17BF">
              <w:t>manufacturer's guidelines and specifications</w:t>
            </w:r>
          </w:p>
          <w:p w:rsidR="00000000" w:rsidRPr="00BC17BF" w:rsidP="00BC17BF">
            <w:pPr>
              <w:pStyle w:val="ListBullet"/>
            </w:pPr>
            <w:r w:rsidRPr="00BC17BF">
              <w:t>Australian standards</w:t>
            </w:r>
          </w:p>
          <w:p w:rsidR="00000000" w:rsidRPr="00BC17BF" w:rsidP="00BC17BF">
            <w:pPr>
              <w:pStyle w:val="ListBullet"/>
            </w:pPr>
            <w:r w:rsidRPr="00BC17BF">
              <w:t>Employment and workplace relations legislation</w:t>
            </w:r>
          </w:p>
          <w:p w:rsidR="00000000" w:rsidP="00BC17BF">
            <w:pPr>
              <w:pStyle w:val="ListBullet"/>
              <w:rPr>
                <w:lang w:val="en-NZ"/>
              </w:rPr>
            </w:pPr>
            <w:r w:rsidRPr="00BC17BF">
              <w:t>Equal Employment Opportunity and Disability Discrimination legislation</w:t>
            </w:r>
          </w:p>
        </w:tc>
      </w:tr>
      <w:tr w:rsidTr="00C05B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rPr>
                <w:rStyle w:val="SpecialBold"/>
              </w:rPr>
              <w:t>Safety requirements</w:t>
            </w:r>
            <w:r w:rsidRPr="00BC17B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ListBullet"/>
            </w:pPr>
            <w:r w:rsidRPr="00BC17BF">
              <w:t>OHS requirements in accordance with state or territory legislation and regulations, organisational safe</w:t>
            </w:r>
            <w:r w:rsidRPr="00BC17BF">
              <w:t>ty policies and procedures, and project safety plan including: protective clothing and equipment, use of tools and equipment, workplace environment and safety, handling of materials, use of fire fighting equipment, use of First Aid equipment, hazard contro</w:t>
            </w:r>
            <w:r w:rsidRPr="00BC17BF">
              <w:t>l and hazardous materials and substances</w:t>
            </w:r>
          </w:p>
          <w:p w:rsidR="00000000" w:rsidRPr="00BC17BF" w:rsidP="00BC17BF">
            <w:pPr>
              <w:pStyle w:val="ListBullet"/>
            </w:pPr>
            <w:r w:rsidRPr="00BC17BF">
              <w:t xml:space="preserve">safe operating procedures including recognising and preventing hazards associated with high voltage power lines, uneven/unstable terrain, trees, overhead service lines, bridges, surrounding buildings, obstructions, </w:t>
            </w:r>
            <w:r w:rsidRPr="00BC17BF">
              <w:t>structures, facilities, dangerous materials, recently filled trenches, other machines, personnel, traffic control, working at heights, working in proximity to others, worksite visitors and the public</w:t>
            </w:r>
          </w:p>
          <w:p w:rsidR="00000000" w:rsidRPr="00BC17BF" w:rsidP="00BC17BF">
            <w:pPr>
              <w:pStyle w:val="ListBullet"/>
            </w:pPr>
            <w:r w:rsidRPr="00BC17BF">
              <w:t>safe parking practices including ensuring access ways ar</w:t>
            </w:r>
            <w:r w:rsidRPr="00BC17BF">
              <w:t>e clear, equipment/machinery is away from overhangs and refuelling sites, safe distance from excavations, and secured from unauthorised access or movement</w:t>
            </w:r>
          </w:p>
          <w:p w:rsidR="00000000" w:rsidRPr="00BC17BF" w:rsidP="00BC17BF">
            <w:pPr>
              <w:pStyle w:val="ListBullet"/>
            </w:pPr>
            <w:r w:rsidRPr="00BC17BF">
              <w:t>recognising hazards and risks including uneven/unstable terrain, trees, fires, overhead and undergrou</w:t>
            </w:r>
            <w:r w:rsidRPr="00BC17BF">
              <w:t>nd services, bridges, buildings, excavations, traffic, embankments, cuttings, structures and hazardous materials</w:t>
            </w:r>
          </w:p>
          <w:p w:rsidR="00000000" w:rsidP="00BC17BF">
            <w:pPr>
              <w:pStyle w:val="ListBullet"/>
              <w:rPr>
                <w:lang w:val="en-NZ"/>
              </w:rPr>
            </w:pPr>
            <w:r w:rsidRPr="00BC17BF">
              <w:t>emergency procedures related to equipment operation including emergency shutdown and stopping, extinguishing equipment fires, organisational Fi</w:t>
            </w:r>
            <w:r w:rsidRPr="00BC17BF">
              <w:t>rst Aid requirements and evacuation</w:t>
            </w:r>
          </w:p>
        </w:tc>
      </w:tr>
      <w:tr w:rsidTr="00C05B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rPr>
                <w:rStyle w:val="SpecialBold"/>
              </w:rPr>
              <w:t>Traffic control signage</w:t>
            </w:r>
            <w:r w:rsidRPr="00BC17B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ListBullet"/>
            </w:pPr>
            <w:r w:rsidRPr="00BC17BF">
              <w:t>site safety signage</w:t>
            </w:r>
          </w:p>
          <w:p w:rsidR="00000000" w:rsidRPr="00BC17BF" w:rsidP="00BC17BF">
            <w:pPr>
              <w:pStyle w:val="ListBullet"/>
            </w:pPr>
            <w:r w:rsidRPr="00BC17BF">
              <w:t>temporary signage for the benefit of motorists and pedestrians</w:t>
            </w:r>
          </w:p>
          <w:p w:rsidR="00000000" w:rsidRPr="00BC17BF" w:rsidP="00BC17BF">
            <w:pPr>
              <w:pStyle w:val="ListBullet"/>
            </w:pPr>
            <w:r w:rsidRPr="00BC17BF">
              <w:t>barricades</w:t>
            </w:r>
          </w:p>
          <w:p w:rsidR="00000000" w:rsidP="00BC17BF">
            <w:pPr>
              <w:pStyle w:val="ListBullet"/>
              <w:rPr>
                <w:lang w:val="en-NZ"/>
              </w:rPr>
            </w:pPr>
            <w:r w:rsidRPr="00BC17BF">
              <w:t>traffic conditions signage</w:t>
            </w:r>
          </w:p>
        </w:tc>
      </w:tr>
      <w:tr w:rsidTr="00C05B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rPr>
                <w:rStyle w:val="SpecialBold"/>
              </w:rPr>
              <w:t>Tools and equipment</w:t>
            </w:r>
            <w:r w:rsidRPr="00BC17B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ListBullet"/>
            </w:pPr>
            <w:r w:rsidRPr="00BC17BF">
              <w:t xml:space="preserve">shoring systems </w:t>
            </w:r>
          </w:p>
          <w:p w:rsidR="00000000" w:rsidRPr="00BC17BF" w:rsidP="00BC17BF">
            <w:pPr>
              <w:pStyle w:val="ListBullet"/>
            </w:pPr>
            <w:r w:rsidRPr="00BC17BF">
              <w:t>levelling equipment</w:t>
            </w:r>
          </w:p>
          <w:p w:rsidR="00000000" w:rsidRPr="00BC17BF" w:rsidP="00BC17BF">
            <w:pPr>
              <w:pStyle w:val="ListBullet"/>
            </w:pPr>
            <w:r w:rsidRPr="00BC17BF">
              <w:t>hand and power tools</w:t>
            </w:r>
          </w:p>
          <w:p w:rsidR="00000000" w:rsidRPr="00BC17BF" w:rsidP="00BC17BF">
            <w:pPr>
              <w:pStyle w:val="ListBullet"/>
            </w:pPr>
            <w:r w:rsidRPr="00BC17BF">
              <w:t>measuring equipment</w:t>
            </w:r>
          </w:p>
          <w:p w:rsidR="00000000" w:rsidRPr="00BC17BF" w:rsidP="00BC17BF">
            <w:pPr>
              <w:pStyle w:val="ListBullet"/>
            </w:pPr>
            <w:r w:rsidRPr="00BC17BF">
              <w:t>shovels</w:t>
            </w:r>
          </w:p>
          <w:p w:rsidR="00000000" w:rsidRPr="00BC17BF" w:rsidP="00BC17BF">
            <w:pPr>
              <w:pStyle w:val="ListBullet"/>
            </w:pPr>
            <w:r w:rsidRPr="00BC17BF">
              <w:t xml:space="preserve">picks </w:t>
            </w:r>
          </w:p>
          <w:p w:rsidR="00000000" w:rsidRPr="00BC17BF" w:rsidP="00BC17BF">
            <w:pPr>
              <w:pStyle w:val="ListBullet"/>
            </w:pPr>
            <w:r w:rsidRPr="00BC17BF">
              <w:t xml:space="preserve">scaffolding </w:t>
            </w:r>
          </w:p>
          <w:p w:rsidR="00000000" w:rsidRPr="00BC17BF" w:rsidP="00BC17BF">
            <w:pPr>
              <w:pStyle w:val="ListBullet"/>
            </w:pPr>
            <w:r w:rsidRPr="00BC17BF">
              <w:t xml:space="preserve">elevated work platforms </w:t>
            </w:r>
          </w:p>
          <w:p w:rsidR="00000000" w:rsidRPr="00BC17BF" w:rsidP="00BC17BF">
            <w:pPr>
              <w:pStyle w:val="ListBullet"/>
            </w:pPr>
            <w:r w:rsidRPr="00BC17BF">
              <w:t xml:space="preserve">slings </w:t>
            </w:r>
          </w:p>
          <w:p w:rsidR="00000000" w:rsidP="00BC17BF">
            <w:pPr>
              <w:pStyle w:val="ListBullet"/>
              <w:rPr>
                <w:lang w:val="en-NZ"/>
              </w:rPr>
            </w:pPr>
            <w:r w:rsidRPr="00BC17BF">
              <w:t>chains</w:t>
            </w:r>
          </w:p>
        </w:tc>
      </w:tr>
      <w:tr w:rsidTr="00C05B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rPr>
                <w:rStyle w:val="SpecialBold"/>
              </w:rPr>
              <w:t>Environmental protection requirements</w:t>
            </w:r>
            <w:r w:rsidRPr="00BC17B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ListBullet"/>
            </w:pPr>
            <w:r w:rsidRPr="00BC17BF">
              <w:t>organisational/project environmental management plan</w:t>
            </w:r>
          </w:p>
          <w:p w:rsidR="00000000" w:rsidRPr="00BC17BF" w:rsidP="00BC17BF">
            <w:pPr>
              <w:pStyle w:val="ListBullet"/>
            </w:pPr>
            <w:r w:rsidRPr="00BC17BF">
              <w:t>waste management</w:t>
            </w:r>
          </w:p>
          <w:p w:rsidR="00000000" w:rsidRPr="00BC17BF" w:rsidP="00BC17BF">
            <w:pPr>
              <w:pStyle w:val="ListBullet"/>
            </w:pPr>
            <w:r w:rsidRPr="00BC17BF">
              <w:t>water quality protection</w:t>
            </w:r>
          </w:p>
          <w:p w:rsidR="00000000" w:rsidRPr="00BC17BF" w:rsidP="00BC17BF">
            <w:pPr>
              <w:pStyle w:val="ListBullet"/>
            </w:pPr>
            <w:r w:rsidRPr="00BC17BF">
              <w:t>noise</w:t>
            </w:r>
          </w:p>
          <w:p w:rsidR="00000000" w:rsidRPr="00BC17BF" w:rsidP="00BC17BF">
            <w:pPr>
              <w:pStyle w:val="ListBullet"/>
            </w:pPr>
            <w:r w:rsidRPr="00BC17BF">
              <w:t>vibration</w:t>
            </w:r>
          </w:p>
          <w:p w:rsidR="00000000" w:rsidRPr="00BC17BF" w:rsidP="00BC17BF">
            <w:pPr>
              <w:pStyle w:val="ListBullet"/>
            </w:pPr>
            <w:r w:rsidRPr="00BC17BF">
              <w:t xml:space="preserve">dust </w:t>
            </w:r>
          </w:p>
          <w:p w:rsidR="00000000" w:rsidP="00BC17BF">
            <w:pPr>
              <w:pStyle w:val="ListBullet"/>
              <w:rPr>
                <w:lang w:val="en-NZ"/>
              </w:rPr>
            </w:pPr>
            <w:r w:rsidRPr="00BC17BF">
              <w:t>clean-up management</w:t>
            </w:r>
          </w:p>
        </w:tc>
      </w:tr>
      <w:tr w:rsidTr="00C05B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rPr>
                <w:rStyle w:val="SpecialBold"/>
              </w:rPr>
              <w:t>Excavations</w:t>
            </w:r>
            <w:r w:rsidRPr="00BC17B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ListBullet"/>
            </w:pPr>
            <w:r w:rsidRPr="00BC17BF">
              <w:t xml:space="preserve">trenches </w:t>
            </w:r>
          </w:p>
          <w:p w:rsidR="00000000" w:rsidRPr="00BC17BF" w:rsidP="00BC17BF">
            <w:pPr>
              <w:pStyle w:val="ListBullet"/>
            </w:pPr>
            <w:r w:rsidRPr="00BC17BF">
              <w:t xml:space="preserve">wells </w:t>
            </w:r>
          </w:p>
          <w:p w:rsidR="00000000" w:rsidP="00BC17BF">
            <w:pPr>
              <w:pStyle w:val="ListBullet"/>
              <w:rPr>
                <w:lang w:val="en-NZ"/>
              </w:rPr>
            </w:pPr>
            <w:r w:rsidRPr="00BC17BF">
              <w:t>pits</w:t>
            </w:r>
          </w:p>
        </w:tc>
      </w:tr>
      <w:tr w:rsidTr="00C05B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rPr>
                <w:rStyle w:val="SpecialBold"/>
              </w:rPr>
              <w:t>Trench</w:t>
            </w:r>
            <w:r w:rsidRPr="00BC17B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ListBullet"/>
            </w:pPr>
            <w:r w:rsidRPr="00BC17BF">
              <w:t xml:space="preserve">trenches of at least 1.5 metres in depth </w:t>
            </w:r>
          </w:p>
          <w:p w:rsidR="00000000" w:rsidP="00BC17BF">
            <w:pPr>
              <w:pStyle w:val="ListBullet"/>
              <w:rPr>
                <w:lang w:val="en-NZ"/>
              </w:rPr>
            </w:pPr>
            <w:r w:rsidRPr="00BC17BF">
              <w:t>trenches less than 1.5 metres deep</w:t>
            </w:r>
          </w:p>
        </w:tc>
      </w:tr>
      <w:tr w:rsidTr="00C05B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rPr>
                <w:rStyle w:val="SpecialBold"/>
              </w:rPr>
              <w:t>Shoring method</w:t>
            </w:r>
            <w:r w:rsidRPr="00BC17B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ListBullet"/>
            </w:pPr>
            <w:r w:rsidRPr="00BC17BF">
              <w:t>fixed and/or adjustable trench boxes</w:t>
            </w:r>
          </w:p>
          <w:p w:rsidR="00000000" w:rsidRPr="00BC17BF" w:rsidP="00BC17BF">
            <w:pPr>
              <w:pStyle w:val="ListBullet"/>
            </w:pPr>
            <w:r w:rsidRPr="00BC17BF">
              <w:t>drag boxes</w:t>
            </w:r>
          </w:p>
          <w:p w:rsidR="00000000" w:rsidRPr="00BC17BF" w:rsidP="00BC17BF">
            <w:pPr>
              <w:pStyle w:val="ListBullet"/>
            </w:pPr>
            <w:r w:rsidRPr="00BC17BF">
              <w:t>hydraulic vertical shoring</w:t>
            </w:r>
          </w:p>
          <w:p w:rsidR="00000000" w:rsidRPr="00BC17BF" w:rsidP="00BC17BF">
            <w:pPr>
              <w:pStyle w:val="ListBullet"/>
            </w:pPr>
            <w:r w:rsidRPr="00BC17BF">
              <w:t>close timber shoring</w:t>
            </w:r>
          </w:p>
          <w:p w:rsidR="00000000" w:rsidRPr="00BC17BF" w:rsidP="00BC17BF">
            <w:pPr>
              <w:pStyle w:val="ListBullet"/>
            </w:pPr>
            <w:r w:rsidRPr="00BC17BF">
              <w:t>aluminium shoring shields</w:t>
            </w:r>
          </w:p>
          <w:p w:rsidR="00000000" w:rsidRPr="00BC17BF" w:rsidP="00BC17BF">
            <w:pPr>
              <w:pStyle w:val="ListBullet"/>
            </w:pPr>
            <w:r w:rsidRPr="00BC17BF">
              <w:t>powerbrace</w:t>
            </w:r>
          </w:p>
          <w:p w:rsidR="00000000" w:rsidRPr="00BC17BF" w:rsidP="00BC17BF">
            <w:pPr>
              <w:pStyle w:val="ListBullet"/>
            </w:pPr>
            <w:r w:rsidRPr="00BC17BF">
              <w:t>lite box aluminium panels</w:t>
            </w:r>
          </w:p>
          <w:p w:rsidR="00000000" w:rsidP="00BC17BF">
            <w:pPr>
              <w:pStyle w:val="ListBullet"/>
              <w:rPr>
                <w:lang w:val="en-NZ"/>
              </w:rPr>
            </w:pPr>
            <w:r w:rsidRPr="00BC17BF">
              <w:t>slide rails</w:t>
            </w:r>
          </w:p>
        </w:tc>
      </w:tr>
      <w:tr w:rsidTr="00C05B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7BF">
            <w:pPr>
              <w:pStyle w:val="BodyText"/>
              <w:rPr>
                <w:lang w:val="en-NZ"/>
              </w:rPr>
            </w:pPr>
            <w:r w:rsidRPr="00BC17BF">
              <w:rPr>
                <w:rStyle w:val="SpecialBold"/>
              </w:rPr>
              <w:t>Erect shoring</w:t>
            </w:r>
            <w:r w:rsidRPr="00BC17B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7BF" w:rsidP="00BC17BF">
            <w:pPr>
              <w:pStyle w:val="ListBullet"/>
            </w:pPr>
            <w:r w:rsidRPr="00BC17BF">
              <w:t>using trench shoring mechanisms including:</w:t>
            </w:r>
          </w:p>
          <w:p w:rsidR="00000000" w:rsidRPr="00BC17BF" w:rsidP="00BC17BF">
            <w:pPr>
              <w:pStyle w:val="ListBullet2"/>
            </w:pPr>
            <w:r w:rsidRPr="00BC17BF">
              <w:t>closed timber sheeting</w:t>
            </w:r>
          </w:p>
          <w:p w:rsidR="00000000" w:rsidRPr="00BC17BF" w:rsidP="00BC17BF">
            <w:pPr>
              <w:pStyle w:val="ListBullet2"/>
            </w:pPr>
            <w:r w:rsidRPr="00BC17BF">
              <w:t>soldier sets</w:t>
            </w:r>
          </w:p>
          <w:p w:rsidR="00000000" w:rsidRPr="00BC17BF" w:rsidP="00BC17BF">
            <w:pPr>
              <w:pStyle w:val="ListBullet2"/>
            </w:pPr>
            <w:r w:rsidRPr="00BC17BF">
              <w:t xml:space="preserve">segmental sections </w:t>
            </w:r>
          </w:p>
          <w:p w:rsidR="00000000" w:rsidRPr="00BC17BF" w:rsidP="00BC17BF">
            <w:pPr>
              <w:pStyle w:val="ListBullet2"/>
            </w:pPr>
            <w:r w:rsidRPr="00BC17BF">
              <w:t>trench shields</w:t>
            </w:r>
          </w:p>
          <w:p w:rsidR="00000000" w:rsidRPr="00BC17BF" w:rsidP="00BC17BF">
            <w:pPr>
              <w:pStyle w:val="ListBullet"/>
            </w:pPr>
            <w:r w:rsidRPr="00BC17BF">
              <w:t>using shoring securing mechanisms including:</w:t>
            </w:r>
          </w:p>
          <w:p w:rsidR="00000000" w:rsidRPr="00BC17BF" w:rsidP="00BC17BF">
            <w:pPr>
              <w:pStyle w:val="ListBullet2"/>
            </w:pPr>
            <w:r w:rsidRPr="00BC17BF">
              <w:t>footings</w:t>
            </w:r>
          </w:p>
          <w:p w:rsidR="00000000" w:rsidRPr="00BC17BF" w:rsidP="00BC17BF">
            <w:pPr>
              <w:pStyle w:val="ListBullet2"/>
            </w:pPr>
            <w:r w:rsidRPr="00BC17BF">
              <w:t>needles</w:t>
            </w:r>
          </w:p>
          <w:p w:rsidR="00000000" w:rsidRPr="00BC17BF" w:rsidP="00BC17BF">
            <w:pPr>
              <w:pStyle w:val="ListBullet2"/>
            </w:pPr>
            <w:r w:rsidRPr="00BC17BF">
              <w:t>anchors</w:t>
            </w:r>
          </w:p>
          <w:p w:rsidR="00000000" w:rsidRPr="00BC17BF" w:rsidP="00BC17BF">
            <w:pPr>
              <w:pStyle w:val="ListBullet2"/>
            </w:pPr>
            <w:r w:rsidRPr="00BC17BF">
              <w:t>sole plates</w:t>
            </w:r>
          </w:p>
          <w:p w:rsidR="00000000" w:rsidRPr="00BC17BF" w:rsidP="00BC17BF">
            <w:pPr>
              <w:pStyle w:val="ListBullet2"/>
            </w:pPr>
            <w:r w:rsidRPr="00BC17BF">
              <w:t xml:space="preserve">struts </w:t>
            </w:r>
          </w:p>
          <w:p w:rsidR="00000000" w:rsidRPr="00BC17BF" w:rsidP="00BC17BF">
            <w:pPr>
              <w:pStyle w:val="ListBullet2"/>
            </w:pPr>
            <w:r w:rsidRPr="00BC17BF">
              <w:t>brackets</w:t>
            </w:r>
          </w:p>
        </w:tc>
      </w:tr>
    </w:tbl>
    <w:p w:rsidR="00000000" w:rsidRPr="00BC17BF" w:rsidP="00BC17BF">
      <w:pPr>
        <w:pStyle w:val="BodyText"/>
      </w:pPr>
    </w:p>
    <w:p w:rsidR="00000000" w:rsidRPr="00BC17BF" w:rsidP="00BC17BF">
      <w:pPr>
        <w:pStyle w:val="AllowPageBreak"/>
      </w:pPr>
    </w:p>
    <w:p w:rsidR="00000000" w:rsidRPr="00BC17BF" w:rsidP="00BC17BF">
      <w:pPr>
        <w:pStyle w:val="Heading1"/>
      </w:pPr>
      <w:bookmarkStart w:id="12" w:name="O_127370"/>
      <w:bookmarkEnd w:id="12"/>
      <w:r w:rsidRPr="00BC17BF">
        <w:t>Unit Sector(s)</w:t>
      </w:r>
    </w:p>
    <w:p w:rsidR="00000000" w:rsidRPr="00BC17BF" w:rsidP="00BC17BF">
      <w:pPr>
        <w:pStyle w:val="BodyText"/>
      </w:pPr>
      <w:r w:rsidRPr="00BC17BF">
        <w:t>Civil Works (Common Units)</w:t>
      </w:r>
    </w:p>
    <w:p w:rsidR="00000000" w:rsidRPr="00BC17BF" w:rsidP="00BC17BF">
      <w:pPr>
        <w:pStyle w:val="AllowPageBreak"/>
      </w:pPr>
    </w:p>
    <w:p w:rsidR="00000000" w:rsidRPr="00BC17BF" w:rsidP="00BC17BF">
      <w:pPr>
        <w:pStyle w:val="Heading1"/>
      </w:pPr>
      <w:bookmarkStart w:id="13" w:name="O_161015"/>
      <w:bookmarkEnd w:id="13"/>
      <w:r w:rsidRPr="00BC17BF">
        <w:t>Competency field</w:t>
      </w:r>
    </w:p>
    <w:p w:rsidR="00000000" w:rsidRPr="00BC17BF" w:rsidP="00BC17BF">
      <w:pPr>
        <w:pStyle w:val="BodyText"/>
      </w:pPr>
      <w:r w:rsidRPr="00BC17BF">
        <w:t>Refer to Unit Sector(s).</w:t>
      </w:r>
    </w:p>
    <w:p w:rsidR="00000000" w:rsidRPr="00BC17BF" w:rsidP="00BC17BF">
      <w:pPr>
        <w:pStyle w:val="AllowPageBreak"/>
      </w:pPr>
    </w:p>
    <w:p w:rsidR="00000000" w:rsidRPr="00BC17BF" w:rsidP="00BC17BF">
      <w:pPr>
        <w:pStyle w:val="Heading1"/>
      </w:pPr>
      <w:bookmarkStart w:id="14" w:name="O_161014"/>
      <w:bookmarkEnd w:id="14"/>
      <w:r w:rsidRPr="00BC17BF">
        <w:t>Co-requisite units</w:t>
      </w:r>
    </w:p>
    <w:p w:rsidR="00000000" w:rsidRPr="00BC17BF" w:rsidP="00BC17BF">
      <w:pPr>
        <w:pStyle w:val="BodyText"/>
      </w:pPr>
      <w:r w:rsidRPr="00BC17BF">
        <w:t>Not applicable.</w:t>
      </w:r>
    </w:p>
    <w:p w:rsidR="00000000" w:rsidRPr="00BC17BF" w:rsidP="00BC17BF"/>
    <w:sectPr w:rsidSect="00BC17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7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5BDA" w:rsidP="00C05B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7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DA" w:rsidP="00BC17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5BDA" w:rsidP="00BC17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05BDA" w:rsidP="00BC17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7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5BDA" w:rsidP="00C05B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7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DA" w:rsidP="00BC17BF">
    <w:pPr>
      <w:pStyle w:val="Header"/>
      <w:framePr w:wrap="around"/>
    </w:pPr>
    <w:r>
      <w:fldChar w:fldCharType="begin"/>
    </w:r>
    <w:r>
      <w:instrText xml:space="preserve"> TITLE   \* MERGEFORMAT </w:instrText>
    </w:r>
    <w:r>
      <w:fldChar w:fldCharType="separate"/>
    </w:r>
    <w:r>
      <w:t>RIICCM210A Install trench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5BDA" w:rsidP="00BC17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2C2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2696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DE4A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7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17BF"/>
    <w:pPr>
      <w:spacing w:before="360" w:after="60"/>
      <w:outlineLvl w:val="0"/>
    </w:pPr>
    <w:rPr>
      <w:sz w:val="32"/>
    </w:rPr>
  </w:style>
  <w:style w:type="paragraph" w:styleId="Heading2">
    <w:name w:val="heading 2"/>
    <w:basedOn w:val="HeadingBase"/>
    <w:next w:val="BodyText"/>
    <w:link w:val="Heading2Char"/>
    <w:qFormat/>
    <w:rsid w:val="00BC17BF"/>
    <w:pPr>
      <w:keepLines/>
      <w:spacing w:before="240" w:after="120"/>
      <w:outlineLvl w:val="1"/>
    </w:pPr>
    <w:rPr>
      <w:sz w:val="28"/>
      <w:szCs w:val="40"/>
    </w:rPr>
  </w:style>
  <w:style w:type="paragraph" w:styleId="Heading3">
    <w:name w:val="heading 3"/>
    <w:basedOn w:val="HeadingBase"/>
    <w:next w:val="BodyText"/>
    <w:link w:val="Heading3Char"/>
    <w:qFormat/>
    <w:rsid w:val="00BC17BF"/>
    <w:pPr>
      <w:spacing w:before="180" w:after="120"/>
      <w:outlineLvl w:val="2"/>
    </w:pPr>
    <w:rPr>
      <w:spacing w:val="-10"/>
      <w:kern w:val="32"/>
    </w:rPr>
  </w:style>
  <w:style w:type="paragraph" w:styleId="Heading4">
    <w:name w:val="heading 4"/>
    <w:basedOn w:val="HeadingBase"/>
    <w:next w:val="BodyText"/>
    <w:link w:val="Heading4Char"/>
    <w:qFormat/>
    <w:rsid w:val="00BC17BF"/>
    <w:pPr>
      <w:spacing w:before="160" w:after="120"/>
      <w:outlineLvl w:val="3"/>
    </w:pPr>
    <w:rPr>
      <w:sz w:val="22"/>
    </w:rPr>
  </w:style>
  <w:style w:type="paragraph" w:styleId="Heading5">
    <w:name w:val="heading 5"/>
    <w:basedOn w:val="HeadingBase"/>
    <w:next w:val="Normal"/>
    <w:link w:val="Heading5Char"/>
    <w:qFormat/>
    <w:rsid w:val="00BC17BF"/>
    <w:pPr>
      <w:spacing w:before="80"/>
      <w:outlineLvl w:val="4"/>
    </w:pPr>
    <w:rPr>
      <w:color w:val="918585"/>
      <w:sz w:val="20"/>
    </w:rPr>
  </w:style>
  <w:style w:type="paragraph" w:styleId="Heading6">
    <w:name w:val="heading 6"/>
    <w:basedOn w:val="HeadingBase"/>
    <w:next w:val="Normal"/>
    <w:link w:val="Heading6Char"/>
    <w:qFormat/>
    <w:rsid w:val="00BC17BF"/>
    <w:pPr>
      <w:spacing w:before="60"/>
      <w:outlineLvl w:val="5"/>
    </w:pPr>
    <w:rPr>
      <w:color w:val="918585"/>
      <w:sz w:val="20"/>
    </w:rPr>
  </w:style>
  <w:style w:type="paragraph" w:styleId="Heading7">
    <w:name w:val="heading 7"/>
    <w:basedOn w:val="Normal"/>
    <w:next w:val="Normal"/>
    <w:link w:val="Heading7Char"/>
    <w:qFormat/>
    <w:rsid w:val="00BC17BF"/>
    <w:pPr>
      <w:ind w:left="720"/>
      <w:outlineLvl w:val="6"/>
    </w:pPr>
    <w:rPr>
      <w:i/>
    </w:rPr>
  </w:style>
  <w:style w:type="paragraph" w:styleId="Heading8">
    <w:name w:val="heading 8"/>
    <w:basedOn w:val="Normal"/>
    <w:next w:val="Normal"/>
    <w:link w:val="Heading8Char"/>
    <w:qFormat/>
    <w:rsid w:val="00BC17BF"/>
    <w:pPr>
      <w:ind w:left="720"/>
      <w:outlineLvl w:val="7"/>
    </w:pPr>
    <w:rPr>
      <w:i/>
    </w:rPr>
  </w:style>
  <w:style w:type="paragraph" w:styleId="Heading9">
    <w:name w:val="heading 9"/>
    <w:basedOn w:val="Normal"/>
    <w:next w:val="Normal"/>
    <w:link w:val="Heading9Char"/>
    <w:qFormat/>
    <w:rsid w:val="00BC17BF"/>
    <w:pPr>
      <w:ind w:left="720"/>
      <w:outlineLvl w:val="8"/>
    </w:pPr>
    <w:rPr>
      <w:i/>
    </w:rPr>
  </w:style>
  <w:style w:type="character" w:default="1" w:styleId="DefaultParagraphFont">
    <w:name w:val="Default Paragraph Font"/>
    <w:uiPriority w:val="1"/>
    <w:unhideWhenUsed/>
    <w:rsid w:val="00BC17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7BF"/>
  </w:style>
  <w:style w:type="character" w:customStyle="1" w:styleId="Heading1Char">
    <w:name w:val="Heading 1 Char"/>
    <w:basedOn w:val="DefaultParagraphFont"/>
    <w:link w:val="Heading1"/>
    <w:rsid w:val="00BC17BF"/>
    <w:rPr>
      <w:rFonts w:ascii="Times New Roman" w:eastAsia="Times New Roman" w:hAnsi="Times New Roman" w:cs="Times New Roman"/>
      <w:b/>
      <w:sz w:val="32"/>
      <w:szCs w:val="20"/>
      <w:lang w:eastAsia="en-US"/>
    </w:rPr>
  </w:style>
  <w:style w:type="paragraph" w:styleId="BodyText">
    <w:name w:val="Body Text"/>
    <w:basedOn w:val="Normal"/>
    <w:link w:val="BodyTextChar"/>
    <w:rsid w:val="00BC17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17BF"/>
    <w:rPr>
      <w:rFonts w:ascii="Times New Roman" w:eastAsia="Times New Roman" w:hAnsi="Times New Roman" w:cs="Times New Roman"/>
      <w:sz w:val="24"/>
      <w:lang w:val="en-US" w:eastAsia="en-US"/>
    </w:rPr>
  </w:style>
  <w:style w:type="paragraph" w:styleId="Footer">
    <w:name w:val="footer"/>
    <w:basedOn w:val="Normal"/>
    <w:link w:val="FooterChar"/>
    <w:rsid w:val="00BC17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7BF"/>
    <w:rPr>
      <w:rFonts w:ascii="Times New Roman" w:eastAsia="Times New Roman" w:hAnsi="Times New Roman" w:cs="Times New Roman"/>
      <w:sz w:val="16"/>
      <w:lang w:val="en-US" w:eastAsia="en-US"/>
    </w:rPr>
  </w:style>
  <w:style w:type="paragraph" w:styleId="List">
    <w:name w:val="List"/>
    <w:basedOn w:val="BodyText"/>
    <w:next w:val="BodyText"/>
    <w:rsid w:val="00BC17BF"/>
    <w:pPr>
      <w:tabs>
        <w:tab w:val="left" w:pos="340"/>
      </w:tabs>
      <w:spacing w:before="60" w:after="60"/>
      <w:ind w:left="340" w:hanging="340"/>
    </w:pPr>
  </w:style>
  <w:style w:type="paragraph" w:styleId="ListBullet">
    <w:name w:val="List Bullet"/>
    <w:basedOn w:val="List"/>
    <w:rsid w:val="00BC17BF"/>
    <w:pPr>
      <w:numPr>
        <w:numId w:val="13"/>
      </w:numPr>
      <w:tabs>
        <w:tab w:val="clear" w:pos="340"/>
      </w:tabs>
      <w:spacing w:before="40" w:after="40"/>
    </w:pPr>
  </w:style>
  <w:style w:type="character" w:customStyle="1" w:styleId="SpecialBold">
    <w:name w:val="Special Bold"/>
    <w:basedOn w:val="DefaultParagraphFont"/>
    <w:rsid w:val="00BC17BF"/>
    <w:rPr>
      <w:b/>
      <w:spacing w:val="0"/>
    </w:rPr>
  </w:style>
  <w:style w:type="paragraph" w:styleId="ListBullet2">
    <w:name w:val="List Bullet 2"/>
    <w:basedOn w:val="List2"/>
    <w:rsid w:val="00BC17BF"/>
    <w:pPr>
      <w:numPr>
        <w:numId w:val="14"/>
      </w:numPr>
      <w:tabs>
        <w:tab w:val="clear" w:pos="680"/>
      </w:tabs>
    </w:pPr>
  </w:style>
  <w:style w:type="paragraph" w:styleId="Header">
    <w:name w:val="header"/>
    <w:basedOn w:val="Normal"/>
    <w:link w:val="HeaderChar"/>
    <w:rsid w:val="00BC17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7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17BF"/>
    <w:pPr>
      <w:spacing w:before="240" w:after="120"/>
      <w:outlineLvl w:val="0"/>
    </w:pPr>
    <w:rPr>
      <w:rFonts w:ascii="Times New Roman" w:hAnsi="Times New Roman"/>
      <w:b/>
      <w:sz w:val="28"/>
    </w:rPr>
  </w:style>
  <w:style w:type="paragraph" w:customStyle="1" w:styleId="AllowPageBreak">
    <w:name w:val="AllowPageBreak"/>
    <w:rsid w:val="00BC17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17BF"/>
    <w:pPr>
      <w:tabs>
        <w:tab w:val="left" w:pos="680"/>
      </w:tabs>
      <w:spacing w:before="60" w:after="60"/>
      <w:ind w:left="680" w:hanging="340"/>
    </w:pPr>
  </w:style>
  <w:style w:type="character" w:customStyle="1" w:styleId="BoldandItalics">
    <w:name w:val="Bold and Italics"/>
    <w:qFormat/>
    <w:rsid w:val="00BC17BF"/>
    <w:rPr>
      <w:b/>
      <w:i/>
      <w:u w:val="none"/>
    </w:rPr>
  </w:style>
  <w:style w:type="character" w:customStyle="1" w:styleId="Heading2Char">
    <w:name w:val="Heading 2 Char"/>
    <w:basedOn w:val="DefaultParagraphFont"/>
    <w:link w:val="Heading2"/>
    <w:rsid w:val="00BC17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7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7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7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7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7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17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17BF"/>
    <w:rPr>
      <w:rFonts w:ascii="Courier New" w:eastAsia="Times New Roman" w:hAnsi="Courier New" w:cs="Times New Roman"/>
      <w:i/>
      <w:szCs w:val="20"/>
      <w:lang w:val="en-US" w:eastAsia="en-US"/>
    </w:rPr>
  </w:style>
  <w:style w:type="paragraph" w:customStyle="1" w:styleId="HeadingBase">
    <w:name w:val="Heading Base"/>
    <w:rsid w:val="00BC17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7BF"/>
    <w:pPr>
      <w:tabs>
        <w:tab w:val="right" w:leader="dot" w:pos="9072"/>
      </w:tabs>
      <w:ind w:left="567"/>
    </w:pPr>
    <w:rPr>
      <w:szCs w:val="22"/>
    </w:rPr>
  </w:style>
  <w:style w:type="paragraph" w:customStyle="1" w:styleId="TOCBase">
    <w:name w:val="TOC Base"/>
    <w:rsid w:val="00BC17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7BF"/>
    <w:pPr>
      <w:tabs>
        <w:tab w:val="right" w:leader="dot" w:pos="9072"/>
      </w:tabs>
      <w:spacing w:before="40" w:after="40"/>
      <w:ind w:left="284"/>
    </w:pPr>
    <w:rPr>
      <w:rFonts w:ascii="Times New Roman" w:hAnsi="Times New Roman"/>
    </w:rPr>
  </w:style>
  <w:style w:type="paragraph" w:styleId="TOC1">
    <w:name w:val="toc 1"/>
    <w:basedOn w:val="TOCBase"/>
    <w:next w:val="Normal"/>
    <w:rsid w:val="00BC17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17BF"/>
    <w:pPr>
      <w:spacing w:before="5040"/>
      <w:jc w:val="center"/>
    </w:pPr>
    <w:rPr>
      <w:sz w:val="48"/>
      <w:szCs w:val="72"/>
      <w:lang w:val="en-US"/>
    </w:rPr>
  </w:style>
  <w:style w:type="character" w:customStyle="1" w:styleId="TitleChar">
    <w:name w:val="Title Char"/>
    <w:basedOn w:val="DefaultParagraphFont"/>
    <w:link w:val="Title"/>
    <w:rsid w:val="00BC17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7BF"/>
    <w:pPr>
      <w:tabs>
        <w:tab w:val="left" w:pos="3600"/>
        <w:tab w:val="left" w:pos="3958"/>
      </w:tabs>
    </w:pPr>
  </w:style>
  <w:style w:type="paragraph" w:customStyle="1" w:styleId="Note">
    <w:name w:val="Note"/>
    <w:basedOn w:val="BodyText"/>
    <w:rsid w:val="00BC17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17BF"/>
    <w:pPr>
      <w:framePr w:wrap="auto" w:hAnchor="text" w:y="6049"/>
    </w:pPr>
    <w:rPr>
      <w:color w:val="000000"/>
      <w:sz w:val="40"/>
    </w:rPr>
  </w:style>
  <w:style w:type="paragraph" w:customStyle="1" w:styleId="TOCTitle">
    <w:name w:val="TOCTitle"/>
    <w:basedOn w:val="Heading1"/>
    <w:rsid w:val="00BC17BF"/>
    <w:pPr>
      <w:spacing w:after="240"/>
      <w:jc w:val="center"/>
      <w:outlineLvl w:val="9"/>
    </w:pPr>
    <w:rPr>
      <w:caps/>
    </w:rPr>
  </w:style>
  <w:style w:type="paragraph" w:customStyle="1" w:styleId="Version">
    <w:name w:val="Version"/>
    <w:rsid w:val="00BC17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17BF"/>
    <w:pPr>
      <w:keepNext w:val="0"/>
      <w:tabs>
        <w:tab w:val="right" w:pos="4176"/>
      </w:tabs>
      <w:ind w:left="198" w:hanging="198"/>
    </w:pPr>
    <w:rPr>
      <w:rFonts w:ascii="Garamond" w:hAnsi="Garamond"/>
    </w:rPr>
  </w:style>
  <w:style w:type="paragraph" w:styleId="IndexHeading">
    <w:name w:val="index heading"/>
    <w:basedOn w:val="Normal"/>
    <w:next w:val="Index1"/>
    <w:semiHidden/>
    <w:rsid w:val="00BC17BF"/>
    <w:pPr>
      <w:spacing w:before="120" w:after="120"/>
    </w:pPr>
    <w:rPr>
      <w:rFonts w:ascii="Arial" w:hAnsi="Arial"/>
      <w:b/>
      <w:color w:val="918585"/>
      <w:sz w:val="24"/>
    </w:rPr>
  </w:style>
  <w:style w:type="paragraph" w:customStyle="1" w:styleId="Chapter">
    <w:name w:val="Chapter"/>
    <w:basedOn w:val="Normal"/>
    <w:rsid w:val="00BC17BF"/>
    <w:pPr>
      <w:spacing w:before="240"/>
    </w:pPr>
    <w:rPr>
      <w:rFonts w:ascii="Times New Roman" w:hAnsi="Times New Roman"/>
      <w:smallCaps/>
      <w:spacing w:val="80"/>
      <w:sz w:val="28"/>
    </w:rPr>
  </w:style>
  <w:style w:type="paragraph" w:customStyle="1" w:styleId="InChapter">
    <w:name w:val="InChapter"/>
    <w:basedOn w:val="Heading3"/>
    <w:rsid w:val="00BC17BF"/>
    <w:pPr>
      <w:spacing w:after="240"/>
      <w:outlineLvl w:val="9"/>
    </w:pPr>
    <w:rPr>
      <w:noProof/>
    </w:rPr>
  </w:style>
  <w:style w:type="paragraph" w:styleId="Index2">
    <w:name w:val="index 2"/>
    <w:basedOn w:val="Normal"/>
    <w:next w:val="Normal"/>
    <w:semiHidden/>
    <w:rsid w:val="00BC17BF"/>
    <w:pPr>
      <w:tabs>
        <w:tab w:val="right" w:pos="4176"/>
      </w:tabs>
      <w:ind w:left="568" w:hanging="284"/>
    </w:pPr>
    <w:rPr>
      <w:rFonts w:ascii="Garamond" w:hAnsi="Garamond"/>
    </w:rPr>
  </w:style>
  <w:style w:type="paragraph" w:customStyle="1" w:styleId="Byline">
    <w:name w:val="Byline"/>
    <w:rsid w:val="00BC17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7BF"/>
    <w:pPr>
      <w:tabs>
        <w:tab w:val="clear" w:pos="3600"/>
        <w:tab w:val="clear" w:pos="3958"/>
      </w:tabs>
      <w:jc w:val="right"/>
    </w:pPr>
  </w:style>
  <w:style w:type="character" w:styleId="Emphasis">
    <w:name w:val="Emphasis"/>
    <w:basedOn w:val="DefaultParagraphFont"/>
    <w:qFormat/>
    <w:rsid w:val="00BC17BF"/>
    <w:rPr>
      <w:i/>
    </w:rPr>
  </w:style>
  <w:style w:type="paragraph" w:styleId="Caption">
    <w:name w:val="caption"/>
    <w:basedOn w:val="BodyText"/>
    <w:next w:val="Normal"/>
    <w:qFormat/>
    <w:rsid w:val="00BC17BF"/>
    <w:pPr>
      <w:framePr w:w="2268" w:hSpace="181" w:vSpace="181" w:wrap="around" w:vAnchor="text" w:hAnchor="page" w:x="1135" w:y="285" w:anchorLock="1"/>
    </w:pPr>
    <w:rPr>
      <w:i/>
    </w:rPr>
  </w:style>
  <w:style w:type="paragraph" w:customStyle="1" w:styleId="MiniTOCTitle">
    <w:name w:val="MiniTOCTitle"/>
    <w:basedOn w:val="Heading4"/>
    <w:rsid w:val="00BC17BF"/>
    <w:pPr>
      <w:spacing w:before="240"/>
      <w:outlineLvl w:val="9"/>
    </w:pPr>
    <w:rPr>
      <w:noProof/>
      <w:sz w:val="24"/>
    </w:rPr>
  </w:style>
  <w:style w:type="paragraph" w:customStyle="1" w:styleId="MiniTOCItem">
    <w:name w:val="MiniTOCItem"/>
    <w:basedOn w:val="ListBullet"/>
    <w:rsid w:val="00BC17BF"/>
    <w:pPr>
      <w:numPr>
        <w:numId w:val="0"/>
      </w:numPr>
      <w:tabs>
        <w:tab w:val="right" w:leader="dot" w:pos="6521"/>
      </w:tabs>
      <w:spacing w:before="0" w:after="0"/>
    </w:pPr>
  </w:style>
  <w:style w:type="paragraph" w:customStyle="1" w:styleId="TOFTitle">
    <w:name w:val="TOFTitle"/>
    <w:basedOn w:val="TOCTitle"/>
    <w:rsid w:val="00BC17BF"/>
  </w:style>
  <w:style w:type="paragraph" w:styleId="TableofFigures">
    <w:name w:val="table of figures"/>
    <w:basedOn w:val="Normal"/>
    <w:next w:val="Normal"/>
    <w:semiHidden/>
    <w:rsid w:val="00BC17BF"/>
    <w:pPr>
      <w:tabs>
        <w:tab w:val="right" w:leader="dot" w:pos="9072"/>
      </w:tabs>
      <w:ind w:left="970" w:hanging="403"/>
    </w:pPr>
    <w:rPr>
      <w:rFonts w:ascii="Times New Roman" w:hAnsi="Times New Roman"/>
      <w:b/>
    </w:rPr>
  </w:style>
  <w:style w:type="paragraph" w:styleId="ListNumber">
    <w:name w:val="List Number"/>
    <w:basedOn w:val="List"/>
    <w:rsid w:val="00BC17BF"/>
    <w:pPr>
      <w:numPr>
        <w:numId w:val="11"/>
      </w:numPr>
    </w:pPr>
  </w:style>
  <w:style w:type="character" w:customStyle="1" w:styleId="WingdingSymbols">
    <w:name w:val="Wingding Symbols"/>
    <w:rsid w:val="00BC17BF"/>
    <w:rPr>
      <w:rFonts w:ascii="Wingdings" w:hAnsi="Wingdings"/>
    </w:rPr>
  </w:style>
  <w:style w:type="paragraph" w:customStyle="1" w:styleId="TableHeading">
    <w:name w:val="Table Heading"/>
    <w:basedOn w:val="HeadingBase"/>
    <w:rsid w:val="00BC17BF"/>
    <w:pPr>
      <w:keepLines/>
      <w:pBdr>
        <w:bottom w:val="single" w:sz="6" w:space="1" w:color="918585"/>
      </w:pBdr>
      <w:spacing w:before="240"/>
    </w:pPr>
  </w:style>
  <w:style w:type="character" w:customStyle="1" w:styleId="HotSpot">
    <w:name w:val="HotSpot"/>
    <w:rsid w:val="00BC17BF"/>
    <w:rPr>
      <w:color w:val="0033CC"/>
      <w:u w:val="none"/>
    </w:rPr>
  </w:style>
  <w:style w:type="paragraph" w:customStyle="1" w:styleId="BodyTextRight">
    <w:name w:val="Body Text Right"/>
    <w:basedOn w:val="BodyText"/>
    <w:rsid w:val="00BC17BF"/>
    <w:pPr>
      <w:spacing w:before="0" w:after="0"/>
      <w:jc w:val="right"/>
    </w:pPr>
  </w:style>
  <w:style w:type="paragraph" w:styleId="Index3">
    <w:name w:val="index 3"/>
    <w:basedOn w:val="ListNumber2"/>
    <w:next w:val="Normal"/>
    <w:semiHidden/>
    <w:rsid w:val="00BC17BF"/>
    <w:pPr>
      <w:numPr>
        <w:numId w:val="0"/>
      </w:numPr>
      <w:tabs>
        <w:tab w:val="right" w:leader="dot" w:pos="4176"/>
      </w:tabs>
    </w:pPr>
  </w:style>
  <w:style w:type="paragraph" w:styleId="ListNumber2">
    <w:name w:val="List Number 2"/>
    <w:basedOn w:val="List2"/>
    <w:rsid w:val="00BC17BF"/>
    <w:pPr>
      <w:numPr>
        <w:numId w:val="10"/>
      </w:numPr>
      <w:tabs>
        <w:tab w:val="clear" w:pos="1060"/>
      </w:tabs>
    </w:pPr>
  </w:style>
  <w:style w:type="paragraph" w:customStyle="1" w:styleId="MarginNote">
    <w:name w:val="Margin Note"/>
    <w:basedOn w:val="BodyText"/>
    <w:rsid w:val="00BC17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7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7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17BF"/>
    <w:rPr>
      <w:sz w:val="32"/>
    </w:rPr>
  </w:style>
  <w:style w:type="paragraph" w:customStyle="1" w:styleId="HeadingProcedure">
    <w:name w:val="Heading Procedure"/>
    <w:basedOn w:val="HeadingBase"/>
    <w:next w:val="Normal"/>
    <w:rsid w:val="00BC17BF"/>
    <w:pPr>
      <w:tabs>
        <w:tab w:val="left" w:pos="0"/>
      </w:tabs>
      <w:spacing w:before="120" w:after="60"/>
    </w:pPr>
    <w:rPr>
      <w:i/>
      <w:color w:val="918585"/>
      <w:sz w:val="22"/>
    </w:rPr>
  </w:style>
  <w:style w:type="paragraph" w:customStyle="1" w:styleId="TableBodyText">
    <w:name w:val="Table Body Text"/>
    <w:basedOn w:val="BodyText"/>
    <w:rsid w:val="00BC17BF"/>
    <w:pPr>
      <w:spacing w:before="60" w:after="60"/>
    </w:pPr>
  </w:style>
  <w:style w:type="paragraph" w:styleId="ListContinue">
    <w:name w:val="List Continue"/>
    <w:basedOn w:val="List"/>
    <w:rsid w:val="00BC17BF"/>
    <w:pPr>
      <w:ind w:firstLine="0"/>
    </w:pPr>
  </w:style>
  <w:style w:type="paragraph" w:customStyle="1" w:styleId="ListNote">
    <w:name w:val="List Note"/>
    <w:basedOn w:val="List"/>
    <w:rsid w:val="00BC17BF"/>
    <w:pPr>
      <w:pBdr>
        <w:top w:val="single" w:sz="6" w:space="2" w:color="918585"/>
        <w:bottom w:val="single" w:sz="6" w:space="2" w:color="918585"/>
      </w:pBdr>
      <w:tabs>
        <w:tab w:val="left" w:pos="1021"/>
      </w:tabs>
      <w:ind w:firstLine="0"/>
    </w:pPr>
  </w:style>
  <w:style w:type="paragraph" w:customStyle="1" w:styleId="Warning">
    <w:name w:val="Warning"/>
    <w:basedOn w:val="BodyText"/>
    <w:rsid w:val="00BC17BF"/>
    <w:pPr>
      <w:shd w:val="clear" w:color="auto" w:fill="D9D9D9"/>
      <w:tabs>
        <w:tab w:val="left" w:pos="992"/>
      </w:tabs>
      <w:ind w:left="119" w:right="119"/>
    </w:pPr>
    <w:rPr>
      <w:sz w:val="20"/>
    </w:rPr>
  </w:style>
  <w:style w:type="paragraph" w:customStyle="1" w:styleId="MarginIcons">
    <w:name w:val="Margin Icons"/>
    <w:basedOn w:val="BodyText"/>
    <w:rsid w:val="00BC17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7BF"/>
    <w:rPr>
      <w:rFonts w:ascii="Courier New" w:hAnsi="Courier New"/>
    </w:rPr>
  </w:style>
  <w:style w:type="paragraph" w:customStyle="1" w:styleId="NoteBullet">
    <w:name w:val="Note Bullet"/>
    <w:basedOn w:val="Note"/>
    <w:rsid w:val="00BC17BF"/>
    <w:pPr>
      <w:tabs>
        <w:tab w:val="clear" w:pos="680"/>
      </w:tabs>
      <w:spacing w:before="60" w:after="60"/>
    </w:pPr>
  </w:style>
  <w:style w:type="paragraph" w:customStyle="1" w:styleId="SubHeading2">
    <w:name w:val="SubHeading2"/>
    <w:basedOn w:val="HeadingBase"/>
    <w:rsid w:val="00BC17BF"/>
    <w:pPr>
      <w:spacing w:before="240" w:after="60"/>
    </w:pPr>
    <w:rPr>
      <w:sz w:val="20"/>
    </w:rPr>
  </w:style>
  <w:style w:type="paragraph" w:customStyle="1" w:styleId="SubHeading1">
    <w:name w:val="SubHeading1"/>
    <w:basedOn w:val="HeadingBase"/>
    <w:rsid w:val="00BC17BF"/>
    <w:pPr>
      <w:spacing w:before="240" w:after="60"/>
    </w:pPr>
    <w:rPr>
      <w:color w:val="918585"/>
      <w:sz w:val="22"/>
    </w:rPr>
  </w:style>
  <w:style w:type="paragraph" w:customStyle="1" w:styleId="SideHeading">
    <w:name w:val="Side Heading"/>
    <w:basedOn w:val="HeadingBase"/>
    <w:rsid w:val="00BC17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7BF"/>
    <w:pPr>
      <w:numPr>
        <w:numId w:val="12"/>
      </w:numPr>
    </w:pPr>
  </w:style>
  <w:style w:type="paragraph" w:styleId="PlainText">
    <w:name w:val="Plain Text"/>
    <w:basedOn w:val="Normal"/>
    <w:link w:val="PlainTextChar"/>
    <w:rsid w:val="00BC17BF"/>
    <w:rPr>
      <w:sz w:val="20"/>
    </w:rPr>
  </w:style>
  <w:style w:type="character" w:customStyle="1" w:styleId="PlainTextChar">
    <w:name w:val="Plain Text Char"/>
    <w:basedOn w:val="DefaultParagraphFont"/>
    <w:link w:val="PlainText"/>
    <w:rsid w:val="00BC17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17BF"/>
    <w:rPr>
      <w:b/>
      <w:smallCaps/>
    </w:rPr>
  </w:style>
  <w:style w:type="paragraph" w:customStyle="1" w:styleId="TableListNumber">
    <w:name w:val="Table List Number"/>
    <w:basedOn w:val="ListNumber"/>
    <w:rsid w:val="00BC17BF"/>
    <w:pPr>
      <w:numPr>
        <w:numId w:val="0"/>
      </w:numPr>
    </w:pPr>
  </w:style>
  <w:style w:type="paragraph" w:styleId="TOC4">
    <w:name w:val="toc 4"/>
    <w:basedOn w:val="TOCBase"/>
    <w:next w:val="Normal"/>
    <w:semiHidden/>
    <w:rsid w:val="00BC17BF"/>
    <w:pPr>
      <w:tabs>
        <w:tab w:val="right" w:leader="dot" w:pos="9071"/>
      </w:tabs>
      <w:ind w:left="1701"/>
    </w:pPr>
  </w:style>
  <w:style w:type="paragraph" w:customStyle="1" w:styleId="ListAlpha">
    <w:name w:val="List Alpha"/>
    <w:basedOn w:val="List"/>
    <w:rsid w:val="00BC17BF"/>
    <w:pPr>
      <w:numPr>
        <w:numId w:val="9"/>
      </w:numPr>
    </w:pPr>
  </w:style>
  <w:style w:type="paragraph" w:customStyle="1" w:styleId="ListAlpha2">
    <w:name w:val="List Alpha 2"/>
    <w:basedOn w:val="List2"/>
    <w:rsid w:val="00BC17BF"/>
    <w:pPr>
      <w:numPr>
        <w:numId w:val="8"/>
      </w:numPr>
    </w:pPr>
  </w:style>
  <w:style w:type="paragraph" w:styleId="List3">
    <w:name w:val="List 3"/>
    <w:basedOn w:val="BodyText"/>
    <w:rsid w:val="00BC17BF"/>
    <w:pPr>
      <w:tabs>
        <w:tab w:val="left" w:pos="1021"/>
      </w:tabs>
      <w:spacing w:before="60" w:after="60"/>
      <w:ind w:left="1020" w:hanging="340"/>
    </w:pPr>
  </w:style>
  <w:style w:type="paragraph" w:styleId="List4">
    <w:name w:val="List 4"/>
    <w:basedOn w:val="BodyText"/>
    <w:rsid w:val="00BC17BF"/>
    <w:pPr>
      <w:tabs>
        <w:tab w:val="left" w:pos="1361"/>
      </w:tabs>
      <w:spacing w:before="60" w:after="60"/>
      <w:ind w:left="1361" w:hanging="340"/>
    </w:pPr>
  </w:style>
  <w:style w:type="paragraph" w:styleId="List5">
    <w:name w:val="List 5"/>
    <w:basedOn w:val="BodyText"/>
    <w:rsid w:val="00BC17BF"/>
    <w:pPr>
      <w:tabs>
        <w:tab w:val="left" w:pos="1701"/>
      </w:tabs>
      <w:spacing w:before="60" w:after="60"/>
      <w:ind w:left="1701" w:hanging="340"/>
    </w:pPr>
  </w:style>
  <w:style w:type="paragraph" w:styleId="ListBullet3">
    <w:name w:val="List Bullet 3"/>
    <w:basedOn w:val="List3"/>
    <w:rsid w:val="00BC17BF"/>
    <w:pPr>
      <w:numPr>
        <w:numId w:val="15"/>
      </w:numPr>
      <w:tabs>
        <w:tab w:val="clear" w:pos="1021"/>
      </w:tabs>
      <w:ind w:left="1037" w:hanging="357"/>
    </w:pPr>
  </w:style>
  <w:style w:type="paragraph" w:styleId="ListBullet4">
    <w:name w:val="List Bullet 4"/>
    <w:basedOn w:val="List4"/>
    <w:rsid w:val="00BC17BF"/>
    <w:pPr>
      <w:numPr>
        <w:numId w:val="3"/>
      </w:numPr>
    </w:pPr>
  </w:style>
  <w:style w:type="paragraph" w:styleId="ListBullet5">
    <w:name w:val="List Bullet 5"/>
    <w:basedOn w:val="List5"/>
    <w:rsid w:val="00BC17BF"/>
    <w:pPr>
      <w:numPr>
        <w:numId w:val="4"/>
      </w:numPr>
    </w:pPr>
  </w:style>
  <w:style w:type="paragraph" w:styleId="ListContinue2">
    <w:name w:val="List Continue 2"/>
    <w:basedOn w:val="List2"/>
    <w:rsid w:val="00BC17BF"/>
    <w:pPr>
      <w:ind w:firstLine="0"/>
    </w:pPr>
  </w:style>
  <w:style w:type="paragraph" w:styleId="ListContinue3">
    <w:name w:val="List Continue 3"/>
    <w:basedOn w:val="List3"/>
    <w:rsid w:val="00BC17BF"/>
    <w:pPr>
      <w:ind w:left="1021" w:firstLine="0"/>
    </w:pPr>
  </w:style>
  <w:style w:type="paragraph" w:styleId="ListContinue4">
    <w:name w:val="List Continue 4"/>
    <w:basedOn w:val="List4"/>
    <w:rsid w:val="00BC17BF"/>
    <w:pPr>
      <w:ind w:firstLine="0"/>
    </w:pPr>
  </w:style>
  <w:style w:type="paragraph" w:styleId="ListContinue5">
    <w:name w:val="List Continue 5"/>
    <w:basedOn w:val="List5"/>
    <w:rsid w:val="00BC17BF"/>
    <w:pPr>
      <w:ind w:firstLine="0"/>
    </w:pPr>
  </w:style>
  <w:style w:type="paragraph" w:styleId="ListNumber3">
    <w:name w:val="List Number 3"/>
    <w:basedOn w:val="List3"/>
    <w:rsid w:val="00BC17BF"/>
    <w:pPr>
      <w:numPr>
        <w:numId w:val="5"/>
      </w:numPr>
    </w:pPr>
  </w:style>
  <w:style w:type="paragraph" w:styleId="ListNumber4">
    <w:name w:val="List Number 4"/>
    <w:basedOn w:val="List4"/>
    <w:rsid w:val="00BC17BF"/>
    <w:pPr>
      <w:numPr>
        <w:numId w:val="6"/>
      </w:numPr>
    </w:pPr>
  </w:style>
  <w:style w:type="paragraph" w:styleId="ListNumber5">
    <w:name w:val="List Number 5"/>
    <w:basedOn w:val="List5"/>
    <w:rsid w:val="00BC17BF"/>
    <w:pPr>
      <w:numPr>
        <w:numId w:val="7"/>
      </w:numPr>
    </w:pPr>
  </w:style>
  <w:style w:type="paragraph" w:styleId="BlockText">
    <w:name w:val="Block Text"/>
    <w:basedOn w:val="Normal"/>
    <w:rsid w:val="00BC17BF"/>
    <w:pPr>
      <w:spacing w:after="120"/>
      <w:ind w:left="1440" w:right="1440"/>
    </w:pPr>
  </w:style>
  <w:style w:type="character" w:customStyle="1" w:styleId="Subscript">
    <w:name w:val="Subscript"/>
    <w:basedOn w:val="DefaultParagraphFont"/>
    <w:rsid w:val="00BC17BF"/>
    <w:rPr>
      <w:sz w:val="16"/>
      <w:vertAlign w:val="subscript"/>
    </w:rPr>
  </w:style>
  <w:style w:type="character" w:customStyle="1" w:styleId="Superscript">
    <w:name w:val="Superscript"/>
    <w:basedOn w:val="DefaultParagraphFont"/>
    <w:rsid w:val="00BC17BF"/>
    <w:rPr>
      <w:sz w:val="16"/>
      <w:vertAlign w:val="superscript"/>
    </w:rPr>
  </w:style>
  <w:style w:type="character" w:customStyle="1" w:styleId="Symbols">
    <w:name w:val="Symbols"/>
    <w:basedOn w:val="DefaultParagraphFont"/>
    <w:rsid w:val="00BC17BF"/>
    <w:rPr>
      <w:rFonts w:ascii="Symbol" w:hAnsi="Symbol"/>
    </w:rPr>
  </w:style>
  <w:style w:type="character" w:customStyle="1" w:styleId="MenuOptions">
    <w:name w:val="Menu Options"/>
    <w:basedOn w:val="DefaultParagraphFont"/>
    <w:rsid w:val="00BC17BF"/>
    <w:rPr>
      <w:rFonts w:ascii="Arial Narrow" w:hAnsi="Arial Narrow"/>
      <w:smallCaps/>
    </w:rPr>
  </w:style>
  <w:style w:type="character" w:customStyle="1" w:styleId="Buttons">
    <w:name w:val="Buttons"/>
    <w:basedOn w:val="DefaultParagraphFont"/>
    <w:rsid w:val="00BC17BF"/>
    <w:rPr>
      <w:b/>
    </w:rPr>
  </w:style>
  <w:style w:type="character" w:customStyle="1" w:styleId="Underlined">
    <w:name w:val="Underlined"/>
    <w:basedOn w:val="DefaultParagraphFont"/>
    <w:rsid w:val="00BC17BF"/>
    <w:rPr>
      <w:u w:val="single"/>
    </w:rPr>
  </w:style>
  <w:style w:type="paragraph" w:customStyle="1" w:styleId="TableBodyTextRight">
    <w:name w:val="Table Body Text Right"/>
    <w:basedOn w:val="TableBodyText"/>
    <w:rsid w:val="00BC17BF"/>
    <w:pPr>
      <w:widowControl w:val="0"/>
      <w:autoSpaceDE w:val="0"/>
      <w:autoSpaceDN w:val="0"/>
      <w:adjustRightInd w:val="0"/>
      <w:jc w:val="right"/>
    </w:pPr>
    <w:rPr>
      <w:rFonts w:cs="Arial"/>
      <w:szCs w:val="18"/>
    </w:rPr>
  </w:style>
  <w:style w:type="paragraph" w:customStyle="1" w:styleId="CopyrightText">
    <w:name w:val="Copyright Text"/>
    <w:basedOn w:val="BodyText"/>
    <w:rsid w:val="00BC17BF"/>
    <w:rPr>
      <w:sz w:val="18"/>
    </w:rPr>
  </w:style>
  <w:style w:type="paragraph" w:customStyle="1" w:styleId="BodySmallRight">
    <w:name w:val="Body Small Right"/>
    <w:basedOn w:val="BodyTextRight"/>
    <w:rsid w:val="00BC17BF"/>
    <w:rPr>
      <w:sz w:val="18"/>
      <w:szCs w:val="18"/>
    </w:rPr>
  </w:style>
  <w:style w:type="paragraph" w:customStyle="1" w:styleId="MarginEdition">
    <w:name w:val="Margin Edition"/>
    <w:basedOn w:val="MarginNote"/>
    <w:rsid w:val="00BC17BF"/>
    <w:pPr>
      <w:spacing w:before="0" w:after="0"/>
    </w:pPr>
    <w:rPr>
      <w:rFonts w:ascii="Times New Roman" w:hAnsi="Times New Roman"/>
      <w:color w:val="999999"/>
    </w:rPr>
  </w:style>
  <w:style w:type="paragraph" w:customStyle="1" w:styleId="Spacer">
    <w:name w:val="Spacer"/>
    <w:basedOn w:val="Normal"/>
    <w:rsid w:val="00BC17BF"/>
    <w:rPr>
      <w:sz w:val="2"/>
      <w:szCs w:val="2"/>
    </w:rPr>
  </w:style>
  <w:style w:type="character" w:customStyle="1" w:styleId="Small">
    <w:name w:val="Small"/>
    <w:basedOn w:val="DefaultParagraphFont"/>
    <w:rsid w:val="00BC17BF"/>
    <w:rPr>
      <w:sz w:val="16"/>
    </w:rPr>
  </w:style>
  <w:style w:type="paragraph" w:customStyle="1" w:styleId="WideTable">
    <w:name w:val="Wide Table"/>
    <w:basedOn w:val="Normal"/>
    <w:rsid w:val="00BC17BF"/>
    <w:pPr>
      <w:ind w:left="-1418"/>
    </w:pPr>
    <w:rPr>
      <w:sz w:val="2"/>
      <w:szCs w:val="2"/>
    </w:rPr>
  </w:style>
  <w:style w:type="character" w:styleId="PageNumber">
    <w:name w:val="page number"/>
    <w:basedOn w:val="DefaultParagraphFont"/>
    <w:rsid w:val="00BC17BF"/>
  </w:style>
  <w:style w:type="paragraph" w:styleId="Quote">
    <w:name w:val="Quote"/>
    <w:basedOn w:val="Heading1"/>
    <w:link w:val="QuoteChar"/>
    <w:qFormat/>
    <w:rsid w:val="00BC17BF"/>
    <w:rPr>
      <w:b w:val="0"/>
      <w:sz w:val="72"/>
      <w:szCs w:val="72"/>
      <w:lang w:val="en-NZ"/>
    </w:rPr>
  </w:style>
  <w:style w:type="character" w:customStyle="1" w:styleId="QuoteChar">
    <w:name w:val="Quote Char"/>
    <w:basedOn w:val="DefaultParagraphFont"/>
    <w:link w:val="Quote"/>
    <w:rsid w:val="00BC17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7BF"/>
    <w:pPr>
      <w:pageBreakBefore/>
    </w:pPr>
  </w:style>
  <w:style w:type="paragraph" w:customStyle="1" w:styleId="Border">
    <w:name w:val="Border"/>
    <w:basedOn w:val="Normal"/>
    <w:qFormat/>
    <w:rsid w:val="00BC17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7BF"/>
    <w:rPr>
      <w:b/>
      <w:bCs/>
      <w:i/>
      <w:iCs/>
      <w:color w:val="auto"/>
    </w:rPr>
  </w:style>
  <w:style w:type="paragraph" w:styleId="IntenseQuote">
    <w:name w:val="Intense Quote"/>
    <w:basedOn w:val="Normal"/>
    <w:next w:val="Normal"/>
    <w:link w:val="IntenseQuoteChar"/>
    <w:uiPriority w:val="30"/>
    <w:qFormat/>
    <w:rsid w:val="00BC17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7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17BF"/>
    <w:rPr>
      <w:smallCaps/>
      <w:color w:val="auto"/>
      <w:u w:val="single"/>
    </w:rPr>
  </w:style>
  <w:style w:type="character" w:styleId="IntenseReference">
    <w:name w:val="Intense Reference"/>
    <w:basedOn w:val="DefaultParagraphFont"/>
    <w:uiPriority w:val="32"/>
    <w:qFormat/>
    <w:rsid w:val="00BC17BF"/>
    <w:rPr>
      <w:b/>
      <w:bCs/>
      <w:smallCaps/>
      <w:color w:val="auto"/>
      <w:spacing w:val="5"/>
      <w:u w:val="single"/>
    </w:rPr>
  </w:style>
  <w:style w:type="paragraph" w:customStyle="1" w:styleId="2ColumnHeading">
    <w:name w:val="2Column Heading"/>
    <w:basedOn w:val="BodyText"/>
    <w:qFormat/>
    <w:rsid w:val="00BC17BF"/>
    <w:pPr>
      <w:spacing w:after="60"/>
      <w:ind w:left="-2268"/>
    </w:pPr>
    <w:rPr>
      <w:b/>
    </w:rPr>
  </w:style>
  <w:style w:type="paragraph" w:customStyle="1" w:styleId="Heading1TOC">
    <w:name w:val="Heading1 TOC"/>
    <w:basedOn w:val="Normal"/>
    <w:qFormat/>
    <w:rsid w:val="00BC17BF"/>
    <w:pPr>
      <w:spacing w:before="240" w:after="120"/>
    </w:pPr>
    <w:rPr>
      <w:rFonts w:ascii="Times New Roman" w:hAnsi="Times New Roman"/>
      <w:b/>
      <w:sz w:val="32"/>
    </w:rPr>
  </w:style>
  <w:style w:type="paragraph" w:customStyle="1" w:styleId="Heading2TOC">
    <w:name w:val="Heading2 TOC"/>
    <w:basedOn w:val="Normal"/>
    <w:qFormat/>
    <w:rsid w:val="00BC17BF"/>
    <w:pPr>
      <w:spacing w:before="240" w:after="60"/>
    </w:pPr>
    <w:rPr>
      <w:rFonts w:ascii="Times New Roman" w:hAnsi="Times New Roman"/>
      <w:b/>
      <w:sz w:val="28"/>
    </w:rPr>
  </w:style>
  <w:style w:type="character" w:customStyle="1" w:styleId="Underline">
    <w:name w:val="Underline"/>
    <w:basedOn w:val="DefaultParagraphFont"/>
    <w:qFormat/>
    <w:rsid w:val="00BC17BF"/>
    <w:rPr>
      <w:u w:val="single"/>
    </w:rPr>
  </w:style>
  <w:style w:type="paragraph" w:styleId="BalloonText">
    <w:name w:val="Balloon Text"/>
    <w:basedOn w:val="Normal"/>
    <w:link w:val="BalloonTextChar"/>
    <w:rsid w:val="00BC17BF"/>
    <w:rPr>
      <w:rFonts w:ascii="Tahoma" w:hAnsi="Tahoma" w:cs="Tahoma"/>
      <w:sz w:val="16"/>
      <w:szCs w:val="16"/>
    </w:rPr>
  </w:style>
  <w:style w:type="character" w:customStyle="1" w:styleId="BalloonTextChar">
    <w:name w:val="Balloon Text Char"/>
    <w:basedOn w:val="DefaultParagraphFont"/>
    <w:link w:val="BalloonText"/>
    <w:rsid w:val="00BC17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17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17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1529</Words>
  <Characters>9730</Characters>
  <Application>Microsoft Office Word</Application>
  <DocSecurity>0</DocSecurity>
  <Lines>333</Lines>
  <Paragraphs>166</Paragraphs>
  <ScaleCrop>false</ScaleCrop>
  <Company>Author-it Software Corporation Ltd.</Company>
  <LinksUpToDate>false</LinksUpToDate>
  <CharactersWithSpaces>11205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RIICCM210A Install trench support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2012-05-26T20:37:00Z</dcterms:created>
  <dcterms:modified xsi:type="dcterms:W3CDTF">2012-05-26T20:37:00Z</dcterms:modified>
</cp:coreProperties>
</file>