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87C" w:rsidP="00D7287C">
      <w:pPr>
        <w:pStyle w:val="Title"/>
      </w:pPr>
      <w:r>
        <w:fldChar w:fldCharType="begin"/>
      </w:r>
      <w:r>
        <w:instrText xml:space="preserve"> TITLE   \* MERGEFORMAT </w:instrText>
      </w:r>
      <w:r>
        <w:fldChar w:fldCharType="separate"/>
      </w:r>
      <w:r>
        <w:t>RIIBHD304B Set-up and prepare for open cut drilling operations</w:t>
      </w:r>
      <w:r>
        <w:fldChar w:fldCharType="end"/>
      </w:r>
    </w:p>
    <w:p w:rsidR="00D7287C" w:rsidP="00D7287C">
      <w:pPr>
        <w:pStyle w:val="Version"/>
        <w:sectPr w:rsidSect="00F209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9BD" w:rsidP="00F209BD">
      <w:pPr>
        <w:pStyle w:val="SuperHeading"/>
      </w:pPr>
      <w:r w:rsidRPr="00F209BD">
        <w:t>RIIBHD304B Set-up and prepare for open cut drilling operations</w:t>
      </w:r>
    </w:p>
    <w:p w:rsidR="00000000" w:rsidRPr="00F209BD" w:rsidP="00F209BD">
      <w:pPr>
        <w:pStyle w:val="Heading1"/>
      </w:pPr>
      <w:bookmarkStart w:id="1" w:name="O_422817"/>
      <w:bookmarkEnd w:id="1"/>
      <w:r w:rsidRPr="00F209BD">
        <w:t>Modification History</w:t>
      </w:r>
    </w:p>
    <w:p w:rsidR="00000000" w:rsidRPr="00F209BD" w:rsidP="00F209BD">
      <w:pPr>
        <w:pStyle w:val="BodyText"/>
      </w:pPr>
      <w:r w:rsidRPr="00F209BD">
        <w:t>Not applicable.</w:t>
      </w:r>
    </w:p>
    <w:p w:rsidR="00000000" w:rsidRPr="00F209BD" w:rsidP="00F209BD">
      <w:pPr>
        <w:pStyle w:val="AllowPageBreak"/>
      </w:pPr>
    </w:p>
    <w:p w:rsidR="00000000" w:rsidRPr="00F209BD" w:rsidP="00F209BD">
      <w:pPr>
        <w:pStyle w:val="Heading1"/>
      </w:pPr>
      <w:bookmarkStart w:id="2" w:name="O_422815"/>
      <w:bookmarkEnd w:id="2"/>
      <w:r w:rsidRPr="00F209BD">
        <w:t>Unit Descriptor</w:t>
      </w:r>
    </w:p>
    <w:p w:rsidR="00000000" w:rsidRPr="00F209BD" w:rsidP="00F209BD">
      <w:pPr>
        <w:pStyle w:val="BodyText"/>
      </w:pPr>
      <w:r w:rsidRPr="00F209BD">
        <w:t>This unit covers setting-up and preparing for open cut drilling operations in the mining and extractive</w:t>
      </w:r>
      <w:r w:rsidRPr="00F209BD">
        <w:t xml:space="preserve"> industries.  It includes: preparing the drilling site; marking out drill pattern; and moving equipment and materials to pattern.</w:t>
      </w:r>
    </w:p>
    <w:p w:rsidR="00000000" w:rsidRPr="00F209BD" w:rsidP="00F209BD">
      <w:pPr>
        <w:pStyle w:val="AllowPageBreak"/>
      </w:pPr>
    </w:p>
    <w:p w:rsidR="00000000" w:rsidRPr="00F209BD" w:rsidP="00F209BD">
      <w:pPr>
        <w:pStyle w:val="Heading1"/>
      </w:pPr>
      <w:bookmarkStart w:id="3" w:name="O_422803"/>
      <w:bookmarkEnd w:id="3"/>
      <w:r w:rsidRPr="00F209BD">
        <w:t>Application of the Unit</w:t>
      </w:r>
    </w:p>
    <w:p w:rsidR="00000000" w:rsidRPr="00F209BD" w:rsidP="00F209BD">
      <w:pPr>
        <w:pStyle w:val="BodyText"/>
      </w:pPr>
      <w:r w:rsidRPr="00F209BD">
        <w:t>This unit is appropriate for those working in a operational roles, at worksites withi</w:t>
      </w:r>
      <w:r w:rsidRPr="00F209BD">
        <w:t>n:</w:t>
      </w:r>
    </w:p>
    <w:p w:rsidR="00000000" w:rsidRPr="00F209BD" w:rsidP="00F209BD">
      <w:pPr>
        <w:pStyle w:val="ListBullet"/>
      </w:pPr>
      <w:r w:rsidRPr="00F209BD">
        <w:t>Coal mining</w:t>
      </w:r>
    </w:p>
    <w:p w:rsidR="00000000" w:rsidRPr="00F209BD" w:rsidP="00F209BD">
      <w:pPr>
        <w:pStyle w:val="ListBullet"/>
      </w:pPr>
      <w:r w:rsidRPr="00F209BD">
        <w:t>Extractive industries</w:t>
      </w:r>
    </w:p>
    <w:p w:rsidR="00000000" w:rsidRPr="00F209BD" w:rsidP="00F209BD">
      <w:pPr>
        <w:pStyle w:val="ListBullet"/>
      </w:pPr>
      <w:r w:rsidRPr="00F209BD">
        <w:t>Metalliferous mining</w:t>
      </w:r>
    </w:p>
    <w:p w:rsidR="00000000" w:rsidRPr="00F209BD" w:rsidP="00F209BD">
      <w:pPr>
        <w:pStyle w:val="AllowPageBreak"/>
      </w:pPr>
    </w:p>
    <w:p w:rsidR="00000000" w:rsidRPr="00F209BD" w:rsidP="00F209BD">
      <w:pPr>
        <w:pStyle w:val="Heading1"/>
      </w:pPr>
      <w:bookmarkStart w:id="4" w:name="O_422811"/>
      <w:bookmarkEnd w:id="4"/>
      <w:r w:rsidRPr="00F209BD">
        <w:t>Licensing/Regulatory Information</w:t>
      </w:r>
    </w:p>
    <w:p w:rsidR="00000000" w:rsidRPr="00F209BD" w:rsidP="00F209BD">
      <w:pPr>
        <w:pStyle w:val="BodyText"/>
      </w:pPr>
      <w:r w:rsidRPr="00F209BD">
        <w:t>Refer to Unit Descriptor.</w:t>
      </w:r>
    </w:p>
    <w:p w:rsidR="00000000" w:rsidRPr="00F209BD" w:rsidP="00F209BD">
      <w:pPr>
        <w:pStyle w:val="AllowPageBreak"/>
      </w:pPr>
    </w:p>
    <w:p w:rsidR="00000000" w:rsidRPr="00F209BD" w:rsidP="00F209BD">
      <w:pPr>
        <w:pStyle w:val="Heading1"/>
      </w:pPr>
      <w:bookmarkStart w:id="5" w:name="O_422812"/>
      <w:bookmarkEnd w:id="5"/>
      <w:r w:rsidRPr="00F209BD">
        <w:t>Pre-Requisites</w:t>
      </w:r>
    </w:p>
    <w:p w:rsidR="00000000" w:rsidRPr="00F209BD" w:rsidP="00F209BD">
      <w:pPr>
        <w:pStyle w:val="BodyText"/>
      </w:pPr>
      <w:r w:rsidRPr="00F209BD">
        <w:t>Not applicable.</w:t>
      </w:r>
    </w:p>
    <w:p w:rsidR="00000000" w:rsidRPr="00F209BD" w:rsidP="00F209BD">
      <w:pPr>
        <w:pStyle w:val="AllowPageBreak"/>
      </w:pPr>
    </w:p>
    <w:p w:rsidR="00000000" w:rsidRPr="00F209BD" w:rsidP="00F209BD">
      <w:pPr>
        <w:pStyle w:val="Heading1"/>
      </w:pPr>
      <w:bookmarkStart w:id="6" w:name="O_422808"/>
      <w:bookmarkEnd w:id="6"/>
      <w:r w:rsidRPr="00F209BD">
        <w:t>Employability Skills Information</w:t>
      </w:r>
    </w:p>
    <w:p w:rsidR="00000000" w:rsidRPr="00F209BD" w:rsidP="00F209BD">
      <w:pPr>
        <w:pStyle w:val="BodyText"/>
      </w:pPr>
      <w:r w:rsidRPr="00F209BD">
        <w:t>This unit contains employability skills.</w:t>
      </w:r>
    </w:p>
    <w:p w:rsidR="00000000" w:rsidRPr="00F209BD" w:rsidP="00F209BD">
      <w:pPr>
        <w:pStyle w:val="AllowPageBreak"/>
      </w:pPr>
    </w:p>
    <w:p w:rsidR="00000000" w:rsidRPr="00F209BD" w:rsidP="00F209BD">
      <w:pPr>
        <w:pStyle w:val="Heading1"/>
      </w:pPr>
      <w:bookmarkStart w:id="7" w:name="O_422807"/>
      <w:bookmarkEnd w:id="7"/>
      <w:r w:rsidRPr="00F209BD">
        <w:t>Elements and Performance Criteria Pre-Content</w:t>
      </w:r>
    </w:p>
    <w:tbl>
      <w:tblPr>
        <w:tblW w:w="0" w:type="auto"/>
        <w:tblLayout w:type="fixed"/>
        <w:tblCellMar>
          <w:left w:w="62" w:type="dxa"/>
          <w:right w:w="62" w:type="dxa"/>
        </w:tblCellMar>
        <w:tblLook w:val="0000"/>
      </w:tblPr>
      <w:tblGrid>
        <w:gridCol w:w="2532"/>
        <w:gridCol w:w="5990"/>
      </w:tblGrid>
      <w:tr w:rsidTr="00D7287C">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t>Performance criteria describe the performance needed to demonstrate achievement of the element. Where bold italicised text is used, further information is detailed in the required skills and knowledge section and the range statement. Assessment of performa</w:t>
            </w:r>
            <w:r w:rsidRPr="00F209BD">
              <w:t>nce is to be consistent with the evidence guide.</w:t>
            </w:r>
          </w:p>
        </w:tc>
      </w:tr>
    </w:tbl>
    <w:p w:rsidR="00000000" w:rsidRPr="00F209BD" w:rsidP="00F209BD">
      <w:pPr>
        <w:pStyle w:val="BodyText"/>
      </w:pPr>
    </w:p>
    <w:p w:rsidR="00000000" w:rsidRPr="00F209BD" w:rsidP="00F209BD">
      <w:pPr>
        <w:pStyle w:val="AllowPageBreak"/>
      </w:pPr>
    </w:p>
    <w:p w:rsidR="00000000" w:rsidRPr="00F209BD" w:rsidP="00F209BD">
      <w:pPr>
        <w:pStyle w:val="Heading1"/>
      </w:pPr>
      <w:bookmarkStart w:id="8" w:name="O_422806"/>
      <w:bookmarkEnd w:id="8"/>
      <w:r w:rsidRPr="00F209BD">
        <w:t>Elements and Performance Criteria</w:t>
      </w:r>
    </w:p>
    <w:tbl>
      <w:tblPr>
        <w:tblW w:w="0" w:type="auto"/>
        <w:tblLayout w:type="fixed"/>
        <w:tblCellMar>
          <w:left w:w="62" w:type="dxa"/>
          <w:right w:w="62" w:type="dxa"/>
        </w:tblCellMar>
        <w:tblLook w:val="0000"/>
      </w:tblPr>
      <w:tblGrid>
        <w:gridCol w:w="3471"/>
        <w:gridCol w:w="5051"/>
      </w:tblGrid>
      <w:tr w:rsidTr="00D728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PERFORMANCE CRITERIA</w:t>
            </w:r>
          </w:p>
        </w:tc>
      </w:tr>
      <w:tr w:rsidTr="00D728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List"/>
              <w:rPr>
                <w:lang w:val="en-NZ"/>
              </w:rPr>
            </w:pPr>
            <w:r w:rsidRPr="00F209BD">
              <w:t>1.</w:t>
            </w:r>
            <w:r w:rsidRPr="00F209BD">
              <w:tab/>
              <w:t>Prepare drilling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2"/>
            </w:pPr>
            <w:r w:rsidRPr="00F209BD">
              <w:t>1.1.</w:t>
            </w:r>
            <w:r w:rsidRPr="00F209BD">
              <w:tab/>
              <w:t xml:space="preserve">Access, interpret and apply </w:t>
            </w:r>
            <w:r w:rsidRPr="00F209BD">
              <w:rPr>
                <w:rStyle w:val="BoldandItalics"/>
              </w:rPr>
              <w:t>compliance documentation</w:t>
            </w:r>
            <w:r w:rsidRPr="00F209BD">
              <w:t xml:space="preserve"> relevant to the setting-up and preparing for open cut drilling operations</w:t>
            </w:r>
          </w:p>
          <w:p w:rsidR="00000000" w:rsidRPr="00F209BD" w:rsidP="00F209BD">
            <w:pPr>
              <w:pStyle w:val="List2"/>
            </w:pPr>
            <w:r w:rsidRPr="00F209BD">
              <w:t>1.2.</w:t>
            </w:r>
            <w:r w:rsidRPr="00F209BD">
              <w:tab/>
              <w:t>Receive, interpret and clarify shift changeover details</w:t>
            </w:r>
          </w:p>
          <w:p w:rsidR="00000000" w:rsidRPr="00F209BD" w:rsidP="00F209BD">
            <w:pPr>
              <w:pStyle w:val="List2"/>
            </w:pPr>
            <w:r w:rsidRPr="00F209BD">
              <w:t>1.3.</w:t>
            </w:r>
            <w:r w:rsidRPr="00F209BD">
              <w:tab/>
              <w:t xml:space="preserve">Identify, manage and report </w:t>
            </w:r>
            <w:r w:rsidRPr="00F209BD">
              <w:rPr>
                <w:rStyle w:val="BoldandItalics"/>
              </w:rPr>
              <w:t>potential hazards and risks</w:t>
            </w:r>
            <w:r w:rsidRPr="00F209BD">
              <w:t xml:space="preserve"> according to work plan</w:t>
            </w:r>
          </w:p>
          <w:p w:rsidR="00000000" w:rsidRPr="00F209BD" w:rsidP="00F209BD">
            <w:pPr>
              <w:pStyle w:val="List2"/>
            </w:pPr>
            <w:r w:rsidRPr="00F209BD">
              <w:t>1.4.</w:t>
            </w:r>
            <w:r w:rsidRPr="00F209BD">
              <w:tab/>
              <w:t>Select personal protective equi</w:t>
            </w:r>
            <w:r w:rsidRPr="00F209BD">
              <w:t>pment appropriate for work activities</w:t>
            </w:r>
          </w:p>
          <w:p w:rsidR="00000000" w:rsidRPr="00F209BD" w:rsidP="00F209BD">
            <w:pPr>
              <w:pStyle w:val="List2"/>
            </w:pPr>
            <w:r w:rsidRPr="00F209BD">
              <w:t>1.5.</w:t>
            </w:r>
            <w:r w:rsidRPr="00F209BD">
              <w:tab/>
              <w:t xml:space="preserve">Conduct equipment </w:t>
            </w:r>
            <w:r w:rsidRPr="00F209BD">
              <w:rPr>
                <w:rStyle w:val="BoldandItalics"/>
              </w:rPr>
              <w:t>pre</w:t>
            </w:r>
            <w:r w:rsidRPr="00F209BD">
              <w:t>-</w:t>
            </w:r>
            <w:r w:rsidRPr="00F209BD">
              <w:rPr>
                <w:rStyle w:val="BoldandItalics"/>
              </w:rPr>
              <w:t>start checks</w:t>
            </w:r>
            <w:r w:rsidRPr="00F209BD">
              <w:t xml:space="preserve"> to ensure equipment is ready for operation</w:t>
            </w:r>
          </w:p>
          <w:p w:rsidR="00000000" w:rsidRPr="00F209BD" w:rsidP="00F209BD">
            <w:pPr>
              <w:pStyle w:val="List2"/>
            </w:pPr>
            <w:r w:rsidRPr="00F209BD">
              <w:t>1.6.</w:t>
            </w:r>
            <w:r w:rsidRPr="00F209BD">
              <w:tab/>
              <w:t xml:space="preserve">Assess </w:t>
            </w:r>
            <w:r w:rsidRPr="00F209BD">
              <w:rPr>
                <w:rStyle w:val="BoldandItalics"/>
              </w:rPr>
              <w:t>site conditions</w:t>
            </w:r>
            <w:r w:rsidRPr="00F209BD">
              <w:t xml:space="preserve"> and historical information of past performance to determine and clarify drilling requirements</w:t>
            </w:r>
          </w:p>
          <w:p w:rsidR="00000000" w:rsidRPr="00F209BD" w:rsidP="00F209BD">
            <w:pPr>
              <w:pStyle w:val="List2"/>
            </w:pPr>
            <w:r w:rsidRPr="00F209BD">
              <w:t>1.7.</w:t>
            </w:r>
            <w:r w:rsidRPr="00F209BD">
              <w:tab/>
            </w:r>
            <w:r w:rsidRPr="00F209BD">
              <w:t>Locate and connect ancillary services</w:t>
            </w:r>
          </w:p>
          <w:p w:rsidR="00000000" w:rsidRPr="00F209BD" w:rsidP="00F209BD">
            <w:pPr>
              <w:pStyle w:val="List2"/>
            </w:pPr>
            <w:r w:rsidRPr="00F209BD">
              <w:t>1.8.</w:t>
            </w:r>
            <w:r w:rsidRPr="00F209BD">
              <w:tab/>
              <w:t>Stabilise drill to minimise delays and breakdowns and ensure safety of operating personnel and continuous drilling</w:t>
            </w:r>
          </w:p>
          <w:p w:rsidR="00000000" w:rsidRPr="00F209BD" w:rsidP="00F209BD">
            <w:pPr>
              <w:pStyle w:val="List2"/>
            </w:pPr>
            <w:r w:rsidRPr="00F209BD">
              <w:t>1.9.</w:t>
            </w:r>
            <w:r w:rsidRPr="00F209BD">
              <w:tab/>
              <w:t>Communicate with other personnel using approved communication methods</w:t>
            </w:r>
          </w:p>
          <w:p w:rsidR="00000000" w:rsidP="00F209BD">
            <w:pPr>
              <w:pStyle w:val="List2"/>
              <w:rPr>
                <w:lang w:val="en-NZ"/>
              </w:rPr>
            </w:pPr>
            <w:r w:rsidRPr="00F209BD">
              <w:t>1.10.</w:t>
            </w:r>
            <w:r w:rsidRPr="00F209BD">
              <w:tab/>
              <w:t>Adhere to emergen</w:t>
            </w:r>
            <w:r w:rsidRPr="00F209BD">
              <w:t>cy procedures to ensure safety of personnel, plant and equipment</w:t>
            </w:r>
          </w:p>
        </w:tc>
      </w:tr>
      <w:tr w:rsidTr="00D728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List"/>
              <w:rPr>
                <w:lang w:val="en-NZ"/>
              </w:rPr>
            </w:pPr>
            <w:r w:rsidRPr="00F209BD">
              <w:t>2.</w:t>
            </w:r>
            <w:r w:rsidRPr="00F209BD">
              <w:tab/>
              <w:t>Mark out drill pattern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2"/>
            </w:pPr>
            <w:r w:rsidRPr="00F209BD">
              <w:t>2.1.</w:t>
            </w:r>
            <w:r w:rsidRPr="00F209BD">
              <w:tab/>
              <w:t>Erect physical barricades and signage to protect pattern from unauthorised personnel and equipment</w:t>
            </w:r>
          </w:p>
          <w:p w:rsidR="00000000" w:rsidRPr="00F209BD" w:rsidP="00F209BD">
            <w:pPr>
              <w:pStyle w:val="List2"/>
            </w:pPr>
            <w:r w:rsidRPr="00F209BD">
              <w:t>2.2.</w:t>
            </w:r>
            <w:r w:rsidRPr="00F209BD">
              <w:tab/>
              <w:t>Adjust drill pattern within authorised tolerances and d</w:t>
            </w:r>
            <w:r w:rsidRPr="00F209BD">
              <w:t>rill pattern</w:t>
            </w:r>
          </w:p>
          <w:p w:rsidR="00000000" w:rsidRPr="00F209BD" w:rsidP="00F209BD">
            <w:pPr>
              <w:pStyle w:val="List2"/>
            </w:pPr>
            <w:r w:rsidRPr="00F209BD">
              <w:t>2.3.</w:t>
            </w:r>
            <w:r w:rsidRPr="00F209BD">
              <w:tab/>
              <w:t>Obtain authorisation for changes to drill pattern plan from relevant authority</w:t>
            </w:r>
          </w:p>
          <w:p w:rsidR="00000000" w:rsidRPr="00F209BD" w:rsidP="00F209BD">
            <w:pPr>
              <w:pStyle w:val="List2"/>
            </w:pPr>
            <w:r w:rsidRPr="00F209BD">
              <w:t>2.4.</w:t>
            </w:r>
            <w:r w:rsidRPr="00F209BD">
              <w:tab/>
              <w:t>Place indicators on drill pattern in preparation for hole drilling</w:t>
            </w:r>
          </w:p>
          <w:p w:rsidR="00000000" w:rsidRPr="00F209BD" w:rsidP="00F209BD">
            <w:pPr>
              <w:pStyle w:val="List2"/>
            </w:pPr>
            <w:r w:rsidRPr="00F209BD">
              <w:t>2.5.</w:t>
            </w:r>
            <w:r w:rsidRPr="00F209BD">
              <w:tab/>
              <w:t>Mark out drill pattern ensuring it is visible and aids the drilling process</w:t>
            </w:r>
          </w:p>
          <w:p w:rsidR="00000000" w:rsidRPr="00F209BD" w:rsidP="00F209BD">
            <w:pPr>
              <w:pStyle w:val="List2"/>
            </w:pPr>
            <w:r w:rsidRPr="00F209BD">
              <w:t>2.6.</w:t>
            </w:r>
            <w:r w:rsidRPr="00F209BD">
              <w:tab/>
              <w:t>P</w:t>
            </w:r>
            <w:r w:rsidRPr="00F209BD">
              <w:t>rotect pre-existing drill holes according to characteristics of hole</w:t>
            </w:r>
          </w:p>
          <w:p w:rsidR="00000000" w:rsidP="00F209BD">
            <w:pPr>
              <w:pStyle w:val="List2"/>
              <w:rPr>
                <w:lang w:val="en-NZ"/>
              </w:rPr>
            </w:pPr>
            <w:r w:rsidRPr="00F209BD">
              <w:t>2.7.</w:t>
            </w:r>
            <w:r w:rsidRPr="00F209BD">
              <w:tab/>
              <w:t>Complete all required documentation clearly, concisely and on time</w:t>
            </w:r>
          </w:p>
        </w:tc>
      </w:tr>
      <w:tr w:rsidTr="00D728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List"/>
              <w:rPr>
                <w:lang w:val="en-NZ"/>
              </w:rPr>
            </w:pPr>
            <w:r w:rsidRPr="00F209BD">
              <w:t>3.</w:t>
            </w:r>
            <w:r w:rsidRPr="00F209BD">
              <w:tab/>
              <w:t xml:space="preserve">Move equipment and materials </w:t>
            </w:r>
            <w:r w:rsidRPr="00F209BD">
              <w:t>to pattern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2"/>
            </w:pPr>
            <w:r w:rsidRPr="00F209BD">
              <w:t>3.1.</w:t>
            </w:r>
            <w:r w:rsidRPr="00F209BD">
              <w:tab/>
              <w:t>Prepare rig for moving</w:t>
            </w:r>
          </w:p>
          <w:p w:rsidR="00000000" w:rsidRPr="00F209BD" w:rsidP="00F209BD">
            <w:pPr>
              <w:pStyle w:val="List2"/>
            </w:pPr>
            <w:r w:rsidRPr="00F209BD">
              <w:t>3.2.</w:t>
            </w:r>
            <w:r w:rsidRPr="00F209BD">
              <w:tab/>
              <w:t xml:space="preserve">Determine route and destination prior </w:t>
            </w:r>
            <w:r w:rsidRPr="00F209BD">
              <w:t xml:space="preserve">to movement of equipment and </w:t>
            </w:r>
            <w:r w:rsidRPr="00F209BD">
              <w:rPr>
                <w:rStyle w:val="BoldandItalics"/>
              </w:rPr>
              <w:t>materials</w:t>
            </w:r>
          </w:p>
          <w:p w:rsidR="00000000" w:rsidRPr="00F209BD" w:rsidP="00F209BD">
            <w:pPr>
              <w:pStyle w:val="List2"/>
            </w:pPr>
            <w:r w:rsidRPr="00F209BD">
              <w:t>3.3.</w:t>
            </w:r>
            <w:r w:rsidRPr="00F209BD">
              <w:tab/>
              <w:t>Identify and manage potential hazards to ensure safe transportation to drill site</w:t>
            </w:r>
          </w:p>
          <w:p w:rsidR="00000000" w:rsidRPr="00F209BD" w:rsidP="00F209BD">
            <w:pPr>
              <w:pStyle w:val="List2"/>
            </w:pPr>
            <w:r w:rsidRPr="00F209BD">
              <w:t>3.4.</w:t>
            </w:r>
            <w:r w:rsidRPr="00F209BD">
              <w:tab/>
              <w:t>Move equipment and attachments safely and avoid damage to equipment and site or injury to personnel</w:t>
            </w:r>
          </w:p>
          <w:p w:rsidR="00000000" w:rsidRPr="00F209BD" w:rsidP="00F209BD">
            <w:pPr>
              <w:pStyle w:val="List2"/>
            </w:pPr>
            <w:r w:rsidRPr="00F209BD">
              <w:t>3.5.</w:t>
            </w:r>
            <w:r w:rsidRPr="00F209BD">
              <w:tab/>
            </w:r>
            <w:r w:rsidRPr="00F209BD">
              <w:t>Align drill rig in appropriate position to access drill pattern efficiently</w:t>
            </w:r>
          </w:p>
          <w:p w:rsidR="00000000" w:rsidRPr="00F209BD" w:rsidP="00F209BD">
            <w:pPr>
              <w:pStyle w:val="List2"/>
            </w:pPr>
            <w:r w:rsidRPr="00F209BD">
              <w:t>3.6.</w:t>
            </w:r>
            <w:r w:rsidRPr="00F209BD">
              <w:tab/>
              <w:t>Connect ancillary services</w:t>
            </w:r>
          </w:p>
        </w:tc>
      </w:tr>
    </w:tbl>
    <w:p w:rsidR="00000000" w:rsidRPr="00F209BD" w:rsidP="00F209BD">
      <w:pPr>
        <w:pStyle w:val="BodyText"/>
      </w:pPr>
    </w:p>
    <w:p w:rsidR="00000000" w:rsidRPr="00F209BD" w:rsidP="00F209BD">
      <w:pPr>
        <w:pStyle w:val="AllowPageBreak"/>
      </w:pPr>
    </w:p>
    <w:p w:rsidR="00000000" w:rsidRPr="00F209BD" w:rsidP="00F209BD">
      <w:pPr>
        <w:pStyle w:val="Heading1"/>
      </w:pPr>
      <w:bookmarkStart w:id="9" w:name="O_422814"/>
      <w:bookmarkEnd w:id="9"/>
      <w:r w:rsidRPr="00F209BD">
        <w:t>Required Skills and Knowledge</w:t>
      </w:r>
    </w:p>
    <w:tbl>
      <w:tblPr>
        <w:tblW w:w="0" w:type="auto"/>
        <w:tblLayout w:type="fixed"/>
        <w:tblCellMar>
          <w:left w:w="62" w:type="dxa"/>
          <w:right w:w="62" w:type="dxa"/>
        </w:tblCellMar>
        <w:tblLook w:val="0000"/>
      </w:tblPr>
      <w:tblGrid>
        <w:gridCol w:w="8522"/>
      </w:tblGrid>
      <w:tr w:rsidTr="00D72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t>This section describes the skills and knowledge required for this unit.</w:t>
            </w:r>
          </w:p>
        </w:tc>
      </w:tr>
      <w:tr w:rsidTr="00D72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Required skills</w:t>
            </w:r>
          </w:p>
        </w:tc>
      </w:tr>
      <w:tr w:rsidTr="00D72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t xml:space="preserve">Specific </w:t>
            </w:r>
            <w:r w:rsidRPr="00F209BD">
              <w:t>skills are required to achieve the performance criteria in this unit, particularly for the application in the various circumstances in which this unit may be applied. This includes the ability to carry out the following as required to set-up and prepare fo</w:t>
            </w:r>
            <w:r w:rsidRPr="00F209BD">
              <w:t>r open cut drilling operations:</w:t>
            </w:r>
          </w:p>
          <w:p w:rsidR="00000000" w:rsidRPr="00F209BD" w:rsidP="00F209BD">
            <w:pPr>
              <w:pStyle w:val="ListBullet"/>
            </w:pPr>
            <w:r w:rsidRPr="00F209BD">
              <w:t>apply legislative, organisation and site requirements and procedures</w:t>
            </w:r>
          </w:p>
          <w:p w:rsidR="00000000" w:rsidRPr="00F209BD" w:rsidP="00F209BD">
            <w:pPr>
              <w:pStyle w:val="ListBullet"/>
            </w:pPr>
            <w:r w:rsidRPr="00F209BD">
              <w:t>apply diagnostic techniques</w:t>
            </w:r>
          </w:p>
          <w:p w:rsidR="00000000" w:rsidRPr="00F209BD" w:rsidP="00F209BD">
            <w:pPr>
              <w:pStyle w:val="ListBullet"/>
            </w:pPr>
            <w:r w:rsidRPr="00F209BD">
              <w:t>apply blasting techniques</w:t>
            </w:r>
          </w:p>
          <w:p w:rsidR="00000000" w:rsidRPr="00F209BD" w:rsidP="00F209BD">
            <w:pPr>
              <w:pStyle w:val="ListBullet"/>
            </w:pPr>
            <w:r w:rsidRPr="00F209BD">
              <w:t>make decisions</w:t>
            </w:r>
          </w:p>
          <w:p w:rsidR="00000000" w:rsidRPr="00F209BD" w:rsidP="00F209BD">
            <w:pPr>
              <w:pStyle w:val="ListBullet"/>
            </w:pPr>
            <w:r w:rsidRPr="00F209BD">
              <w:t>direct operations</w:t>
            </w:r>
          </w:p>
          <w:p w:rsidR="00000000" w:rsidRPr="00F209BD" w:rsidP="00F209BD">
            <w:pPr>
              <w:pStyle w:val="ListBullet"/>
            </w:pPr>
            <w:r w:rsidRPr="00F209BD">
              <w:t>apply drilling techniques</w:t>
            </w:r>
          </w:p>
          <w:p w:rsidR="00000000" w:rsidRPr="00F209BD" w:rsidP="00F209BD">
            <w:pPr>
              <w:pStyle w:val="ListBullet"/>
            </w:pPr>
            <w:r w:rsidRPr="00F209BD">
              <w:t>apply driving techniques</w:t>
            </w:r>
          </w:p>
          <w:p w:rsidR="00000000" w:rsidRPr="00F209BD" w:rsidP="00F209BD">
            <w:pPr>
              <w:pStyle w:val="ListBullet"/>
            </w:pPr>
            <w:r w:rsidRPr="00F209BD">
              <w:t>identify hazards</w:t>
            </w:r>
          </w:p>
          <w:p w:rsidR="00000000" w:rsidRPr="00F209BD" w:rsidP="00F209BD">
            <w:pPr>
              <w:pStyle w:val="ListBullet"/>
            </w:pPr>
            <w:r w:rsidRPr="00F209BD">
              <w:t>handle hazardous goods</w:t>
            </w:r>
          </w:p>
          <w:p w:rsidR="00000000" w:rsidRPr="00F209BD" w:rsidP="00F209BD">
            <w:pPr>
              <w:pStyle w:val="ListBullet"/>
            </w:pPr>
            <w:r w:rsidRPr="00F209BD">
              <w:t>interpret plans, reports, maps, specifications</w:t>
            </w:r>
          </w:p>
          <w:p w:rsidR="00000000" w:rsidRPr="00F209BD" w:rsidP="00F209BD">
            <w:pPr>
              <w:pStyle w:val="ListBullet"/>
            </w:pPr>
            <w:r w:rsidRPr="00F209BD">
              <w:t>apply lifting techniques (manual, cranes and loads)</w:t>
            </w:r>
          </w:p>
          <w:p w:rsidR="00000000" w:rsidRPr="00F209BD" w:rsidP="00F209BD">
            <w:pPr>
              <w:pStyle w:val="ListBullet"/>
            </w:pPr>
            <w:r w:rsidRPr="00F209BD">
              <w:t>maintain records</w:t>
            </w:r>
          </w:p>
          <w:p w:rsidR="00000000" w:rsidRPr="00F209BD" w:rsidP="00F209BD">
            <w:pPr>
              <w:pStyle w:val="ListBullet"/>
            </w:pPr>
            <w:r w:rsidRPr="00F209BD">
              <w:t>organise work tasks</w:t>
            </w:r>
          </w:p>
          <w:p w:rsidR="00000000" w:rsidRPr="00F209BD" w:rsidP="00F209BD">
            <w:pPr>
              <w:pStyle w:val="ListBullet"/>
            </w:pPr>
            <w:r w:rsidRPr="00F209BD">
              <w:t>report defects</w:t>
            </w:r>
          </w:p>
          <w:p w:rsidR="00000000" w:rsidRPr="00F209BD" w:rsidP="00F209BD">
            <w:pPr>
              <w:pStyle w:val="ListBullet"/>
            </w:pPr>
            <w:r w:rsidRPr="00F209BD">
              <w:t>apply safe work practices</w:t>
            </w:r>
          </w:p>
          <w:p w:rsidR="00000000" w:rsidRPr="00F209BD" w:rsidP="00F209BD">
            <w:pPr>
              <w:pStyle w:val="ListBullet"/>
            </w:pPr>
            <w:r w:rsidRPr="00F209BD">
              <w:t>select and fit personal protective equipment</w:t>
            </w:r>
          </w:p>
          <w:p w:rsidR="00000000" w:rsidRPr="00F209BD" w:rsidP="00F209BD">
            <w:pPr>
              <w:pStyle w:val="ListBullet"/>
            </w:pPr>
            <w:r w:rsidRPr="00F209BD">
              <w:t xml:space="preserve">work in a </w:t>
            </w:r>
            <w:r w:rsidRPr="00F209BD">
              <w:t>team</w:t>
            </w:r>
          </w:p>
          <w:p w:rsidR="00000000" w:rsidRPr="00F209BD" w:rsidP="00F209BD">
            <w:pPr>
              <w:pStyle w:val="ListBullet"/>
            </w:pPr>
            <w:r w:rsidRPr="00F209BD">
              <w:t>troubleshoot</w:t>
            </w:r>
          </w:p>
          <w:p w:rsidR="00000000" w:rsidRPr="00F209BD" w:rsidP="00F209BD">
            <w:pPr>
              <w:pStyle w:val="ListBullet"/>
            </w:pPr>
            <w:r w:rsidRPr="00F209BD">
              <w:t>use communications equipment</w:t>
            </w:r>
          </w:p>
          <w:p w:rsidR="00000000" w:rsidP="00F209BD">
            <w:pPr>
              <w:pStyle w:val="ListBullet"/>
              <w:rPr>
                <w:lang w:val="en-NZ"/>
              </w:rPr>
            </w:pPr>
            <w:r w:rsidRPr="00F209BD">
              <w:t>use hand tools</w:t>
            </w:r>
          </w:p>
        </w:tc>
      </w:tr>
      <w:tr w:rsidTr="00D72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Required knowledge</w:t>
            </w:r>
          </w:p>
        </w:tc>
      </w:tr>
      <w:tr w:rsidTr="00D72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t xml:space="preserve">Specific knowledge is required to achieve the Performance Criteria of this unit, particularly its application in a variety of circumstances </w:t>
            </w:r>
            <w:r w:rsidRPr="00F209BD">
              <w:t>in which the unit may be used. This includes knowledge of the following, as required to set-up and prepare for open cut drilling operations:</w:t>
            </w:r>
          </w:p>
          <w:p w:rsidR="00000000" w:rsidRPr="00F209BD" w:rsidP="00F209BD">
            <w:pPr>
              <w:pStyle w:val="ListBullet"/>
            </w:pPr>
            <w:r w:rsidRPr="00F209BD">
              <w:t>blasting procedures</w:t>
            </w:r>
          </w:p>
          <w:p w:rsidR="00000000" w:rsidRPr="00F209BD" w:rsidP="00F209BD">
            <w:pPr>
              <w:pStyle w:val="ListBullet"/>
            </w:pPr>
            <w:r w:rsidRPr="00F209BD">
              <w:t>breakdown procedures</w:t>
            </w:r>
          </w:p>
          <w:p w:rsidR="00000000" w:rsidRPr="00F209BD" w:rsidP="00F209BD">
            <w:pPr>
              <w:pStyle w:val="ListBullet"/>
            </w:pPr>
            <w:r w:rsidRPr="00F209BD">
              <w:t>drilling pattern marking procedures</w:t>
            </w:r>
          </w:p>
          <w:p w:rsidR="00000000" w:rsidRPr="00F209BD" w:rsidP="00F209BD">
            <w:pPr>
              <w:pStyle w:val="ListBullet"/>
            </w:pPr>
            <w:r w:rsidRPr="00F209BD">
              <w:t>drilling procedures</w:t>
            </w:r>
          </w:p>
          <w:p w:rsidR="00000000" w:rsidRPr="00F209BD" w:rsidP="00F209BD">
            <w:pPr>
              <w:pStyle w:val="ListBullet"/>
            </w:pPr>
            <w:r w:rsidRPr="00F209BD">
              <w:t>emergency procedu</w:t>
            </w:r>
            <w:r w:rsidRPr="00F209BD">
              <w:t>res</w:t>
            </w:r>
          </w:p>
          <w:p w:rsidR="00000000" w:rsidRPr="00F209BD" w:rsidP="00F209BD">
            <w:pPr>
              <w:pStyle w:val="ListBullet"/>
            </w:pPr>
            <w:r w:rsidRPr="00F209BD">
              <w:t>environmental and heritage procedures</w:t>
            </w:r>
          </w:p>
          <w:p w:rsidR="00000000" w:rsidRPr="00F209BD" w:rsidP="00F209BD">
            <w:pPr>
              <w:pStyle w:val="ListBullet"/>
            </w:pPr>
            <w:r w:rsidRPr="00F209BD">
              <w:t>equipment processes, technical capability and limitations</w:t>
            </w:r>
          </w:p>
          <w:p w:rsidR="00000000" w:rsidRPr="00F209BD" w:rsidP="00F209BD">
            <w:pPr>
              <w:pStyle w:val="ListBullet"/>
            </w:pPr>
            <w:r w:rsidRPr="00F209BD">
              <w:t>equipment safety requirements</w:t>
            </w:r>
          </w:p>
          <w:p w:rsidR="00000000" w:rsidRPr="00F209BD" w:rsidP="00F209BD">
            <w:pPr>
              <w:pStyle w:val="ListBullet"/>
            </w:pPr>
            <w:r w:rsidRPr="00F209BD">
              <w:t>geological and technical data</w:t>
            </w:r>
          </w:p>
          <w:p w:rsidR="00000000" w:rsidRPr="00F209BD" w:rsidP="00F209BD">
            <w:pPr>
              <w:pStyle w:val="ListBullet"/>
            </w:pPr>
            <w:r w:rsidRPr="00F209BD">
              <w:t>hauling procedures</w:t>
            </w:r>
          </w:p>
          <w:p w:rsidR="00000000" w:rsidRPr="00F209BD" w:rsidP="00F209BD">
            <w:pPr>
              <w:pStyle w:val="ListBullet"/>
            </w:pPr>
            <w:r w:rsidRPr="00F209BD">
              <w:t>hazardous goods procedures and consequences of spills</w:t>
            </w:r>
          </w:p>
          <w:p w:rsidR="00000000" w:rsidRPr="00F209BD" w:rsidP="00F209BD">
            <w:pPr>
              <w:pStyle w:val="ListBullet"/>
            </w:pPr>
            <w:r w:rsidRPr="00F209BD">
              <w:t>isolation procedures</w:t>
            </w:r>
          </w:p>
          <w:p w:rsidR="00000000" w:rsidRPr="00F209BD" w:rsidP="00F209BD">
            <w:pPr>
              <w:pStyle w:val="ListBullet"/>
            </w:pPr>
            <w:r w:rsidRPr="00F209BD">
              <w:t>mine operational system</w:t>
            </w:r>
          </w:p>
          <w:p w:rsidR="00000000" w:rsidRPr="00F209BD" w:rsidP="00F209BD">
            <w:pPr>
              <w:pStyle w:val="ListBullet"/>
            </w:pPr>
            <w:r w:rsidRPr="00F209BD">
              <w:t>night and day working procedures</w:t>
            </w:r>
          </w:p>
          <w:p w:rsidR="00000000" w:rsidRPr="00F209BD" w:rsidP="00F209BD">
            <w:pPr>
              <w:pStyle w:val="ListBullet"/>
            </w:pPr>
            <w:r w:rsidRPr="00F209BD">
              <w:t>OHS procedures</w:t>
            </w:r>
          </w:p>
          <w:p w:rsidR="00000000" w:rsidRPr="00F209BD" w:rsidP="00F209BD">
            <w:pPr>
              <w:pStyle w:val="ListBullet"/>
            </w:pPr>
            <w:r w:rsidRPr="00F209BD">
              <w:t>open cut procedures</w:t>
            </w:r>
          </w:p>
          <w:p w:rsidR="00000000" w:rsidRPr="00F209BD" w:rsidP="00F209BD">
            <w:pPr>
              <w:pStyle w:val="ListBullet"/>
            </w:pPr>
            <w:r w:rsidRPr="00F209BD">
              <w:t>operational procedures and checks</w:t>
            </w:r>
          </w:p>
          <w:p w:rsidR="00000000" w:rsidRPr="00F209BD" w:rsidP="00F209BD">
            <w:pPr>
              <w:pStyle w:val="ListBullet"/>
            </w:pPr>
            <w:r w:rsidRPr="00F209BD">
              <w:t>road rules</w:t>
            </w:r>
          </w:p>
          <w:p w:rsidR="00000000" w:rsidRPr="00F209BD" w:rsidP="00F209BD">
            <w:pPr>
              <w:pStyle w:val="ListBullet"/>
            </w:pPr>
            <w:r w:rsidRPr="00F209BD">
              <w:t>shutdown procedures</w:t>
            </w:r>
          </w:p>
          <w:p w:rsidR="00000000" w:rsidRPr="00F209BD" w:rsidP="00F209BD">
            <w:pPr>
              <w:pStyle w:val="ListBullet"/>
            </w:pPr>
            <w:r w:rsidRPr="00F209BD">
              <w:t>site procedures</w:t>
            </w:r>
          </w:p>
          <w:p w:rsidR="00000000" w:rsidRPr="00F209BD" w:rsidP="00F209BD">
            <w:pPr>
              <w:pStyle w:val="ListBullet"/>
            </w:pPr>
            <w:r w:rsidRPr="00F209BD">
              <w:t>site safety requirements</w:t>
            </w:r>
          </w:p>
          <w:p w:rsidR="00000000" w:rsidRPr="00F209BD" w:rsidP="00F209BD">
            <w:pPr>
              <w:pStyle w:val="ListBullet"/>
            </w:pPr>
            <w:r w:rsidRPr="00F209BD">
              <w:t>start-up procedures</w:t>
            </w:r>
          </w:p>
          <w:p w:rsidR="00000000" w:rsidRPr="00F209BD" w:rsidP="00F209BD">
            <w:pPr>
              <w:pStyle w:val="ListBullet"/>
            </w:pPr>
            <w:r w:rsidRPr="00F209BD">
              <w:t>towing procedures</w:t>
            </w:r>
          </w:p>
        </w:tc>
      </w:tr>
    </w:tbl>
    <w:p w:rsidR="00000000" w:rsidRPr="00F209BD" w:rsidP="00F209BD">
      <w:pPr>
        <w:pStyle w:val="BodyText"/>
      </w:pPr>
    </w:p>
    <w:p w:rsidR="00000000" w:rsidRPr="00F209BD" w:rsidP="00F209BD">
      <w:pPr>
        <w:pStyle w:val="AllowPageBreak"/>
      </w:pPr>
    </w:p>
    <w:p w:rsidR="00000000" w:rsidRPr="00F209BD" w:rsidP="00F209BD">
      <w:pPr>
        <w:pStyle w:val="Heading1"/>
      </w:pPr>
      <w:bookmarkStart w:id="10" w:name="O_422809"/>
      <w:bookmarkEnd w:id="10"/>
      <w:r w:rsidRPr="00F209BD">
        <w:t>E</w:t>
      </w:r>
      <w:r w:rsidRPr="00F209BD">
        <w:t>vidence Guide</w:t>
      </w:r>
    </w:p>
    <w:tbl>
      <w:tblPr>
        <w:tblW w:w="0" w:type="auto"/>
        <w:tblLayout w:type="fixed"/>
        <w:tblCellMar>
          <w:left w:w="62" w:type="dxa"/>
          <w:right w:w="62" w:type="dxa"/>
        </w:tblCellMar>
        <w:tblLook w:val="0000"/>
      </w:tblPr>
      <w:tblGrid>
        <w:gridCol w:w="3448"/>
        <w:gridCol w:w="5074"/>
      </w:tblGrid>
      <w:tr w:rsidTr="00D728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t>The evidence guide provides advice on assessment and must be read in conjunction with the performance criteria, required skills and knowledge, range statement and the Assessment Guidelines for the Training Package.</w:t>
            </w:r>
          </w:p>
        </w:tc>
      </w:tr>
      <w:tr w:rsidTr="00D728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p>
        </w:tc>
      </w:tr>
      <w:tr w:rsidTr="00D728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t>The evidence required to demonstrate competency in this unit must be relevant to worksite operations and satisfy all of the requirements of the performance criteri</w:t>
            </w:r>
            <w:r w:rsidRPr="00F209BD">
              <w:t>a, required skills and knowledge and the range statement of this unit and include evidence of the following:</w:t>
            </w:r>
          </w:p>
          <w:p w:rsidR="00000000" w:rsidRPr="00F209BD" w:rsidP="00F209BD">
            <w:pPr>
              <w:pStyle w:val="ListBullet"/>
            </w:pPr>
            <w:r w:rsidRPr="00F209BD">
              <w:t>knowledge of the requirements, procedures and instructions for setting-up and preparing for open cut drilling operations</w:t>
            </w:r>
          </w:p>
          <w:p w:rsidR="00000000" w:rsidRPr="00F209BD" w:rsidP="00F209BD">
            <w:pPr>
              <w:pStyle w:val="ListBullet"/>
            </w:pPr>
            <w:r w:rsidRPr="00F209BD">
              <w:t xml:space="preserve">implementation of requirements, procedures and techniques for the safe, effective and efficient setting-up and preparing for open cut drilling operations </w:t>
            </w:r>
          </w:p>
          <w:p w:rsidR="00000000" w:rsidRPr="00F209BD" w:rsidP="00F209BD">
            <w:pPr>
              <w:pStyle w:val="ListBullet"/>
            </w:pPr>
            <w:r w:rsidRPr="00F209BD">
              <w:t>working with others to set-up and prepare for open cut drilling operations that meet all of the requi</w:t>
            </w:r>
            <w:r w:rsidRPr="00F209BD">
              <w:t>red outcomes</w:t>
            </w:r>
          </w:p>
          <w:p w:rsidR="00000000" w:rsidP="00F209BD">
            <w:pPr>
              <w:pStyle w:val="ListBullet"/>
              <w:rPr>
                <w:lang w:val="en-NZ"/>
              </w:rPr>
            </w:pPr>
            <w:r w:rsidRPr="00F209BD">
              <w:t>consistent timely completion of setting-up and preparing for open cut drilling operations that safely, effectively and efficiently meets the required outcomes</w:t>
            </w:r>
          </w:p>
        </w:tc>
      </w:tr>
      <w:tr w:rsidTr="00D728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Bullet"/>
            </w:pPr>
            <w:r w:rsidRPr="00F209BD">
              <w:t>This unit must be assessed in the</w:t>
            </w:r>
            <w:r w:rsidRPr="00F209BD">
              <w:t xml:space="preserve"> context of the work environment. Where personal safety or environmental damage are limiting factors, assessment may occur in a simulated environment provided it is realistic and sufficiently rigorous to cover all aspects of workplace performance, includin</w:t>
            </w:r>
            <w:r w:rsidRPr="00F209BD">
              <w:t>g task skills, task management skills, contingency management skills and job role environment skills.</w:t>
            </w:r>
          </w:p>
          <w:p w:rsidR="00000000" w:rsidRPr="00F209BD" w:rsidP="00F209BD">
            <w:pPr>
              <w:pStyle w:val="ListBullet"/>
            </w:pPr>
            <w:r w:rsidRPr="00F209BD">
              <w:t>The assessment environment should not disadvantage the participant. For example, language, literacy and numeracy demands of assessment should not be great</w:t>
            </w:r>
            <w:r w:rsidRPr="00F209BD">
              <w:t xml:space="preserve">er than those required on the job. </w:t>
            </w:r>
          </w:p>
          <w:p w:rsidR="00000000" w:rsidRPr="00F209BD" w:rsidP="00F209BD">
            <w:pPr>
              <w:pStyle w:val="ListBullet"/>
            </w:pPr>
            <w:r w:rsidRPr="00F209BD">
              <w:t>Customisation of assessment and delivery environment to sensitively accommodate cultural diversity.</w:t>
            </w:r>
          </w:p>
          <w:p w:rsidR="00000000" w:rsidRPr="00F209BD" w:rsidP="00F209BD">
            <w:pPr>
              <w:pStyle w:val="ListBullet"/>
            </w:pPr>
            <w:r w:rsidRPr="00F209BD">
              <w:t>Aboriginal people and other people from a non English speaking background may have second language issues.</w:t>
            </w:r>
          </w:p>
          <w:p w:rsidR="00000000" w:rsidRPr="00F209BD" w:rsidP="00F209BD">
            <w:pPr>
              <w:pStyle w:val="ListBullet"/>
            </w:pPr>
            <w:r w:rsidRPr="00F209BD">
              <w:t>Assessment of</w:t>
            </w:r>
            <w:r w:rsidRPr="00F209BD">
              <w:t xml:space="preserve"> this competency requires typical resources normally used in the work environment. Selection and use of resources for particular worksites may differ due to site circumstances. </w:t>
            </w:r>
          </w:p>
          <w:p w:rsidR="00000000" w:rsidRPr="00F209BD" w:rsidP="00F209BD">
            <w:pPr>
              <w:pStyle w:val="ListBullet"/>
            </w:pPr>
            <w:r w:rsidRPr="00F209BD">
              <w:t>Where applicable, physical resources should include equipment modified for peo</w:t>
            </w:r>
            <w:r w:rsidRPr="00F209BD">
              <w:t xml:space="preserve">ple with disabilities. </w:t>
            </w:r>
          </w:p>
          <w:p w:rsidR="00000000" w:rsidP="00F209BD">
            <w:pPr>
              <w:pStyle w:val="ListBullet"/>
              <w:rPr>
                <w:lang w:val="en-NZ"/>
              </w:rPr>
            </w:pPr>
            <w:r w:rsidRPr="00F209BD">
              <w:t>Access must be provided to appropriate learning and/or assessment support when required.</w:t>
            </w:r>
          </w:p>
        </w:tc>
      </w:tr>
      <w:tr w:rsidTr="00D728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t>This unit may be assessed in a holistic way with other units of competency.  The assessment strategy for this unit must v</w:t>
            </w:r>
            <w:r w:rsidRPr="00F209BD">
              <w:t xml:space="preserve">erify required knowledge and skill and practical application using more than one of the following assessment methods: </w:t>
            </w:r>
          </w:p>
          <w:p w:rsidR="00000000" w:rsidRPr="00F209BD" w:rsidP="00F209BD">
            <w:pPr>
              <w:pStyle w:val="ListBullet"/>
            </w:pPr>
            <w:r w:rsidRPr="00F209BD">
              <w:t>written and/or oral assessment of the candidate's required knowledge</w:t>
            </w:r>
          </w:p>
          <w:p w:rsidR="00000000" w:rsidRPr="00F209BD" w:rsidP="00F209BD">
            <w:pPr>
              <w:pStyle w:val="ListBullet"/>
            </w:pPr>
            <w:r w:rsidRPr="00F209BD">
              <w:t>observed, documented and/or first hand testimonial evidence of the candidate's:</w:t>
            </w:r>
          </w:p>
          <w:p w:rsidR="00000000" w:rsidRPr="00F209BD" w:rsidP="00F209BD">
            <w:pPr>
              <w:pStyle w:val="ListBullet2"/>
            </w:pPr>
            <w:r w:rsidRPr="00F209BD">
              <w:t>implementation of appropriate requirement, procedures and techniques for the safe, effective and efficient achievement of required outcomes</w:t>
            </w:r>
          </w:p>
          <w:p w:rsidR="00000000" w:rsidRPr="00F209BD" w:rsidP="00F209BD">
            <w:pPr>
              <w:pStyle w:val="ListBullet2"/>
            </w:pPr>
            <w:r w:rsidRPr="00F209BD">
              <w:t>consistently achieving the required</w:t>
            </w:r>
            <w:r w:rsidRPr="00F209BD">
              <w:t xml:space="preserve"> outcomes</w:t>
            </w:r>
          </w:p>
          <w:p w:rsidR="00000000" w:rsidRPr="00F209BD" w:rsidP="00F209BD">
            <w:pPr>
              <w:pStyle w:val="ListBullet"/>
            </w:pPr>
            <w:r w:rsidRPr="00F209BD">
              <w:t>first hand testimonial evidence of the candidate's:</w:t>
            </w:r>
          </w:p>
          <w:p w:rsidR="00000000" w:rsidP="00F209BD">
            <w:pPr>
              <w:pStyle w:val="ListBullet2"/>
              <w:rPr>
                <w:lang w:val="en-NZ"/>
              </w:rPr>
            </w:pPr>
            <w:r w:rsidRPr="00F209BD">
              <w:t>working with others to set-up and prepare for open cut drilling operations</w:t>
            </w:r>
          </w:p>
        </w:tc>
      </w:tr>
      <w:tr w:rsidTr="00D728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t>Consult</w:t>
            </w:r>
            <w:r w:rsidRPr="00F209BD">
              <w:t xml:space="preserve"> the SkillsDMC User Guide for further information on assessment including access and equity issues.</w:t>
            </w:r>
          </w:p>
        </w:tc>
      </w:tr>
    </w:tbl>
    <w:p w:rsidR="00000000" w:rsidRPr="00F209BD" w:rsidP="00F209BD">
      <w:pPr>
        <w:pStyle w:val="BodyText"/>
      </w:pPr>
    </w:p>
    <w:p w:rsidR="00000000" w:rsidRPr="00F209BD" w:rsidP="00F209BD">
      <w:pPr>
        <w:pStyle w:val="AllowPageBreak"/>
      </w:pPr>
    </w:p>
    <w:p w:rsidR="00000000" w:rsidRPr="00F209BD" w:rsidP="00F209BD">
      <w:pPr>
        <w:pStyle w:val="Heading1"/>
      </w:pPr>
      <w:bookmarkStart w:id="11" w:name="O_422813"/>
      <w:bookmarkEnd w:id="11"/>
      <w:r w:rsidRPr="00F209BD">
        <w:t>Range Statement</w:t>
      </w:r>
    </w:p>
    <w:tbl>
      <w:tblPr>
        <w:tblW w:w="0" w:type="auto"/>
        <w:tblLayout w:type="fixed"/>
        <w:tblCellMar>
          <w:left w:w="62" w:type="dxa"/>
          <w:right w:w="62" w:type="dxa"/>
        </w:tblCellMar>
        <w:tblLook w:val="0000"/>
      </w:tblPr>
      <w:tblGrid>
        <w:gridCol w:w="3522"/>
        <w:gridCol w:w="5000"/>
      </w:tblGrid>
      <w:tr w:rsidTr="00D728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t>The range statement relates to the unit of competency as a whole. It allows for different work environments and situation</w:t>
            </w:r>
            <w:r w:rsidRPr="00F209BD">
              <w:t>s that may affect performance. Bold italicised wording, if used in the performance criteria, is detailed below. Essential operating conditions that may be present with training and assessment (depending on the work situation, needs of the candidate, access</w:t>
            </w:r>
            <w:r w:rsidRPr="00F209BD">
              <w:t>ibility of the item, and local industry and regional contexts) may also be included.</w:t>
            </w:r>
          </w:p>
        </w:tc>
      </w:tr>
      <w:tr w:rsidTr="00D7287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BodyText"/>
            </w:pPr>
            <w:r w:rsidRPr="00F209BD">
              <w:rPr>
                <w:rStyle w:val="SpecialBold"/>
              </w:rPr>
              <w:t>Relevant compliance documentation</w:t>
            </w:r>
          </w:p>
          <w:p w:rsidR="00000000" w:rsidP="00F209BD">
            <w:pPr>
              <w:pStyle w:val="BodyText"/>
              <w:rPr>
                <w:lang w:val="en-NZ"/>
              </w:rPr>
            </w:pPr>
            <w:r w:rsidRPr="00F209BD">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Bullet"/>
            </w:pPr>
            <w:r w:rsidRPr="00F209BD">
              <w:t>legislative, organisation and site requirements and procedures</w:t>
            </w:r>
          </w:p>
          <w:p w:rsidR="00000000" w:rsidRPr="00F209BD" w:rsidP="00F209BD">
            <w:pPr>
              <w:pStyle w:val="ListBullet"/>
            </w:pPr>
            <w:r w:rsidRPr="00F209BD">
              <w:t xml:space="preserve">manufacturer's guidelines and specifications </w:t>
            </w:r>
          </w:p>
          <w:p w:rsidR="00000000" w:rsidRPr="00F209BD" w:rsidP="00F209BD">
            <w:pPr>
              <w:pStyle w:val="ListBullet"/>
            </w:pPr>
            <w:r w:rsidRPr="00F209BD">
              <w:t>Australian standards</w:t>
            </w:r>
          </w:p>
          <w:p w:rsidR="00000000" w:rsidRPr="00F209BD" w:rsidP="00F209BD">
            <w:pPr>
              <w:pStyle w:val="ListBullet"/>
            </w:pPr>
            <w:r w:rsidRPr="00F209BD">
              <w:t>code of practice</w:t>
            </w:r>
          </w:p>
          <w:p w:rsidR="00000000" w:rsidRPr="00F209BD" w:rsidP="00F209BD">
            <w:pPr>
              <w:pStyle w:val="ListBullet"/>
            </w:pPr>
            <w:r w:rsidRPr="00F209BD">
              <w:t>Employment and workplace relations legislation</w:t>
            </w:r>
          </w:p>
          <w:p w:rsidR="00000000" w:rsidP="00F209BD">
            <w:pPr>
              <w:pStyle w:val="ListBullet"/>
              <w:rPr>
                <w:lang w:val="en-NZ"/>
              </w:rPr>
            </w:pPr>
            <w:r w:rsidRPr="00F209BD">
              <w:t>Equal Employment Opportunity and Disability Discrimination legislation</w:t>
            </w:r>
          </w:p>
        </w:tc>
      </w:tr>
      <w:tr w:rsidTr="00D7287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Potential hazards and risks</w:t>
            </w:r>
            <w:r w:rsidRPr="00F209B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Bullet"/>
            </w:pPr>
            <w:r w:rsidRPr="00F209BD">
              <w:t>abandoned equipment</w:t>
            </w:r>
          </w:p>
          <w:p w:rsidR="00000000" w:rsidRPr="00F209BD" w:rsidP="00F209BD">
            <w:pPr>
              <w:pStyle w:val="ListBullet"/>
            </w:pPr>
            <w:r w:rsidRPr="00F209BD">
              <w:t>adjoining pit walls</w:t>
            </w:r>
          </w:p>
          <w:p w:rsidR="00000000" w:rsidRPr="00F209BD" w:rsidP="00F209BD">
            <w:pPr>
              <w:pStyle w:val="ListBullet"/>
            </w:pPr>
            <w:r w:rsidRPr="00F209BD">
              <w:t>adverse weather c</w:t>
            </w:r>
            <w:r w:rsidRPr="00F209BD">
              <w:t>onditions (electrical storms, floods, fires)</w:t>
            </w:r>
          </w:p>
          <w:p w:rsidR="00000000" w:rsidRPr="00F209BD" w:rsidP="00F209BD">
            <w:pPr>
              <w:pStyle w:val="ListBullet"/>
            </w:pPr>
            <w:r w:rsidRPr="00F209BD">
              <w:t>chemicals</w:t>
            </w:r>
          </w:p>
          <w:p w:rsidR="00000000" w:rsidRPr="00F209BD" w:rsidP="00F209BD">
            <w:pPr>
              <w:pStyle w:val="ListBullet"/>
            </w:pPr>
            <w:r w:rsidRPr="00F209BD">
              <w:t>contaminants</w:t>
            </w:r>
          </w:p>
          <w:p w:rsidR="00000000" w:rsidRPr="00F209BD" w:rsidP="00F209BD">
            <w:pPr>
              <w:pStyle w:val="ListBullet"/>
            </w:pPr>
            <w:r w:rsidRPr="00F209BD">
              <w:t>equipment</w:t>
            </w:r>
          </w:p>
          <w:p w:rsidR="00000000" w:rsidRPr="00F209BD" w:rsidP="00F209BD">
            <w:pPr>
              <w:pStyle w:val="ListBullet"/>
            </w:pPr>
            <w:r w:rsidRPr="00F209BD">
              <w:t>fences</w:t>
            </w:r>
          </w:p>
          <w:p w:rsidR="00000000" w:rsidRPr="00F209BD" w:rsidP="00F209BD">
            <w:pPr>
              <w:pStyle w:val="ListBullet"/>
            </w:pPr>
            <w:r w:rsidRPr="00F209BD">
              <w:t>holes</w:t>
            </w:r>
          </w:p>
          <w:p w:rsidR="00000000" w:rsidRPr="00F209BD" w:rsidP="00F209BD">
            <w:pPr>
              <w:pStyle w:val="ListBullet"/>
            </w:pPr>
            <w:r w:rsidRPr="00F209BD">
              <w:t>materials</w:t>
            </w:r>
          </w:p>
          <w:p w:rsidR="00000000" w:rsidRPr="00F209BD" w:rsidP="00F209BD">
            <w:pPr>
              <w:pStyle w:val="ListBullet"/>
            </w:pPr>
            <w:r w:rsidRPr="00F209BD">
              <w:t>over-hanging rocks</w:t>
            </w:r>
          </w:p>
          <w:p w:rsidR="00000000" w:rsidRPr="00F209BD" w:rsidP="00F209BD">
            <w:pPr>
              <w:pStyle w:val="ListBullet"/>
            </w:pPr>
            <w:r w:rsidRPr="00F209BD">
              <w:t>personnel</w:t>
            </w:r>
          </w:p>
          <w:p w:rsidR="00000000" w:rsidRPr="00F209BD" w:rsidP="00F209BD">
            <w:pPr>
              <w:pStyle w:val="ListBullet"/>
            </w:pPr>
            <w:r w:rsidRPr="00F209BD">
              <w:t>pot holes</w:t>
            </w:r>
          </w:p>
          <w:p w:rsidR="00000000" w:rsidRPr="00F209BD" w:rsidP="00F209BD">
            <w:pPr>
              <w:pStyle w:val="ListBullet"/>
            </w:pPr>
            <w:r w:rsidRPr="00F209BD">
              <w:t>unsafe ground</w:t>
            </w:r>
          </w:p>
          <w:p w:rsidR="00000000" w:rsidRPr="00F209BD" w:rsidP="00F209BD">
            <w:pPr>
              <w:pStyle w:val="ListBullet"/>
            </w:pPr>
            <w:r w:rsidRPr="00F209BD">
              <w:t>unstable faces</w:t>
            </w:r>
          </w:p>
          <w:p w:rsidR="00000000" w:rsidP="00F209BD">
            <w:pPr>
              <w:pStyle w:val="ListBullet"/>
              <w:rPr>
                <w:lang w:val="en-NZ"/>
              </w:rPr>
            </w:pPr>
            <w:r w:rsidRPr="00F209BD">
              <w:t>vehicles</w:t>
            </w:r>
          </w:p>
        </w:tc>
      </w:tr>
      <w:tr w:rsidTr="00D7287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Pre-start checks</w:t>
            </w:r>
            <w:r w:rsidRPr="00F209B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Bullet"/>
            </w:pPr>
            <w:r w:rsidRPr="00F209BD">
              <w:t>air filter restriction indicator</w:t>
            </w:r>
          </w:p>
          <w:p w:rsidR="00000000" w:rsidRPr="00F209BD" w:rsidP="00F209BD">
            <w:pPr>
              <w:pStyle w:val="ListBullet"/>
            </w:pPr>
            <w:r w:rsidRPr="00F209BD">
              <w:t>cab (horn, lights, air conditioner)</w:t>
            </w:r>
          </w:p>
          <w:p w:rsidR="00000000" w:rsidRPr="00F209BD" w:rsidP="00F209BD">
            <w:pPr>
              <w:pStyle w:val="ListBullet"/>
            </w:pPr>
            <w:r w:rsidRPr="00F209BD">
              <w:t>display instrumentation and gauges (indicators, gauges, laser levels), computer systems</w:t>
            </w:r>
          </w:p>
          <w:p w:rsidR="00000000" w:rsidRPr="00F209BD" w:rsidP="00F209BD">
            <w:pPr>
              <w:pStyle w:val="ListBullet"/>
            </w:pPr>
            <w:r w:rsidRPr="00F209BD">
              <w:t>engine and stop engine lights (orange and red)</w:t>
            </w:r>
          </w:p>
          <w:p w:rsidR="00000000" w:rsidRPr="00F209BD" w:rsidP="00F209BD">
            <w:pPr>
              <w:pStyle w:val="ListBullet"/>
            </w:pPr>
            <w:r w:rsidRPr="00F209BD">
              <w:t>fluid levels (windscreen washer tank, hydraulic oil, coolant, grease, water, engine o</w:t>
            </w:r>
            <w:r w:rsidRPr="00F209BD">
              <w:t>il, fuel)</w:t>
            </w:r>
          </w:p>
          <w:p w:rsidR="00000000" w:rsidP="00F209BD">
            <w:pPr>
              <w:pStyle w:val="ListBullet"/>
              <w:rPr>
                <w:lang w:val="en-NZ"/>
              </w:rPr>
            </w:pPr>
            <w:r w:rsidRPr="00F209BD">
              <w:t>visual and audio warning devices and lights</w:t>
            </w:r>
          </w:p>
        </w:tc>
      </w:tr>
      <w:tr w:rsidTr="00D7287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Site conditions</w:t>
            </w:r>
            <w:r w:rsidRPr="00F209B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Bullet"/>
            </w:pPr>
            <w:r w:rsidRPr="00F209BD">
              <w:t>wet and dry</w:t>
            </w:r>
          </w:p>
          <w:p w:rsidR="00000000" w:rsidRPr="00F209BD" w:rsidP="00F209BD">
            <w:pPr>
              <w:pStyle w:val="ListBullet"/>
            </w:pPr>
            <w:r w:rsidRPr="00F209BD">
              <w:t>day and night</w:t>
            </w:r>
          </w:p>
          <w:p w:rsidR="00000000" w:rsidRPr="00F209BD" w:rsidP="00F209BD">
            <w:pPr>
              <w:pStyle w:val="ListBullet"/>
            </w:pPr>
            <w:r w:rsidRPr="00F209BD">
              <w:t>broken ground</w:t>
            </w:r>
          </w:p>
          <w:p w:rsidR="00000000" w:rsidRPr="00F209BD" w:rsidP="00F209BD">
            <w:pPr>
              <w:pStyle w:val="ListBullet"/>
            </w:pPr>
            <w:r w:rsidRPr="00F209BD">
              <w:t>stable ground (compaction) amount of scale</w:t>
            </w:r>
          </w:p>
          <w:p w:rsidR="00000000" w:rsidRPr="00F209BD" w:rsidP="00F209BD">
            <w:pPr>
              <w:pStyle w:val="ListBullet"/>
            </w:pPr>
            <w:r w:rsidRPr="00F209BD">
              <w:t>slope of working surface</w:t>
            </w:r>
          </w:p>
          <w:p w:rsidR="00000000" w:rsidRPr="00F209BD" w:rsidP="00F209BD">
            <w:pPr>
              <w:pStyle w:val="ListBullet"/>
            </w:pPr>
            <w:r w:rsidRPr="00F209BD">
              <w:t>degree of compaction</w:t>
            </w:r>
          </w:p>
          <w:p w:rsidR="00000000" w:rsidRPr="00F209BD" w:rsidP="00F209BD">
            <w:pPr>
              <w:pStyle w:val="ListBullet"/>
            </w:pPr>
            <w:r w:rsidRPr="00F209BD">
              <w:t>location of water table</w:t>
            </w:r>
          </w:p>
          <w:p w:rsidR="00000000" w:rsidP="00F209BD">
            <w:pPr>
              <w:pStyle w:val="ListBullet"/>
              <w:rPr>
                <w:lang w:val="en-NZ"/>
              </w:rPr>
            </w:pPr>
            <w:r w:rsidRPr="00F209BD">
              <w:t>working over old underground workings and voids</w:t>
            </w:r>
          </w:p>
        </w:tc>
      </w:tr>
      <w:tr w:rsidTr="00D7287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09BD">
            <w:pPr>
              <w:pStyle w:val="BodyText"/>
              <w:rPr>
                <w:lang w:val="en-NZ"/>
              </w:rPr>
            </w:pPr>
            <w:r w:rsidRPr="00F209BD">
              <w:rPr>
                <w:rStyle w:val="SpecialBold"/>
              </w:rPr>
              <w:t>Materials</w:t>
            </w:r>
            <w:r w:rsidRPr="00F209BD">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09BD" w:rsidP="00F209BD">
            <w:pPr>
              <w:pStyle w:val="ListBullet"/>
            </w:pPr>
            <w:r w:rsidRPr="00F209BD">
              <w:t>gravel</w:t>
            </w:r>
          </w:p>
          <w:p w:rsidR="00000000" w:rsidRPr="00F209BD" w:rsidP="00F209BD">
            <w:pPr>
              <w:pStyle w:val="ListBullet"/>
            </w:pPr>
            <w:r w:rsidRPr="00F209BD">
              <w:t>ore</w:t>
            </w:r>
          </w:p>
          <w:p w:rsidR="00000000" w:rsidRPr="00F209BD" w:rsidP="00F209BD">
            <w:pPr>
              <w:pStyle w:val="ListBullet"/>
            </w:pPr>
            <w:r w:rsidRPr="00F209BD">
              <w:t>oxidised waste</w:t>
            </w:r>
          </w:p>
          <w:p w:rsidR="00000000" w:rsidRPr="00F209BD" w:rsidP="00F209BD">
            <w:pPr>
              <w:pStyle w:val="ListBullet"/>
            </w:pPr>
            <w:r w:rsidRPr="00F209BD">
              <w:t>rejects</w:t>
            </w:r>
          </w:p>
          <w:p w:rsidR="00000000" w:rsidRPr="00F209BD" w:rsidP="00F209BD">
            <w:pPr>
              <w:pStyle w:val="ListBullet"/>
            </w:pPr>
            <w:r w:rsidRPr="00F209BD">
              <w:t>road base</w:t>
            </w:r>
          </w:p>
          <w:p w:rsidR="00000000" w:rsidRPr="00F209BD" w:rsidP="00F209BD">
            <w:pPr>
              <w:pStyle w:val="ListBullet"/>
            </w:pPr>
            <w:r w:rsidRPr="00F209BD">
              <w:t>rubbish</w:t>
            </w:r>
          </w:p>
          <w:p w:rsidR="00000000" w:rsidRPr="00F209BD" w:rsidP="00F209BD">
            <w:pPr>
              <w:pStyle w:val="ListBullet"/>
            </w:pPr>
            <w:r w:rsidRPr="00F209BD">
              <w:t>sand</w:t>
            </w:r>
          </w:p>
          <w:p w:rsidR="00000000" w:rsidRPr="00F209BD" w:rsidP="00F209BD">
            <w:pPr>
              <w:pStyle w:val="ListBullet"/>
            </w:pPr>
            <w:r w:rsidRPr="00F209BD">
              <w:t>sulphide rock fill</w:t>
            </w:r>
          </w:p>
          <w:p w:rsidR="00000000" w:rsidRPr="00F209BD" w:rsidP="00F209BD">
            <w:pPr>
              <w:pStyle w:val="ListBullet"/>
            </w:pPr>
            <w:r w:rsidRPr="00F209BD">
              <w:t>tailings</w:t>
            </w:r>
          </w:p>
          <w:p w:rsidR="00000000" w:rsidRPr="00F209BD" w:rsidP="00F209BD">
            <w:pPr>
              <w:pStyle w:val="ListBullet"/>
            </w:pPr>
            <w:r w:rsidRPr="00F209BD">
              <w:t>topsoil</w:t>
            </w:r>
          </w:p>
          <w:p w:rsidR="00000000" w:rsidRPr="00F209BD" w:rsidP="00F209BD">
            <w:pPr>
              <w:pStyle w:val="ListBullet"/>
            </w:pPr>
            <w:r w:rsidRPr="00F209BD">
              <w:t>water</w:t>
            </w:r>
          </w:p>
        </w:tc>
      </w:tr>
    </w:tbl>
    <w:p w:rsidR="00000000" w:rsidRPr="00F209BD" w:rsidP="00F209BD">
      <w:pPr>
        <w:pStyle w:val="BodyText"/>
      </w:pPr>
    </w:p>
    <w:p w:rsidR="00000000" w:rsidRPr="00F209BD" w:rsidP="00F209BD">
      <w:pPr>
        <w:pStyle w:val="AllowPageBreak"/>
      </w:pPr>
    </w:p>
    <w:p w:rsidR="00000000" w:rsidRPr="00F209BD" w:rsidP="00F209BD">
      <w:pPr>
        <w:pStyle w:val="Heading1"/>
      </w:pPr>
      <w:bookmarkStart w:id="12" w:name="O_422816"/>
      <w:bookmarkEnd w:id="12"/>
      <w:r w:rsidRPr="00F209BD">
        <w:t>Unit Sector(s)</w:t>
      </w:r>
    </w:p>
    <w:p w:rsidR="00000000" w:rsidRPr="00F209BD" w:rsidP="00F209BD">
      <w:pPr>
        <w:pStyle w:val="BodyText"/>
      </w:pPr>
      <w:r w:rsidRPr="00F209BD">
        <w:t>Blast Hole Drilling</w:t>
      </w:r>
    </w:p>
    <w:p w:rsidR="00000000" w:rsidRPr="00F209BD" w:rsidP="00F209BD">
      <w:pPr>
        <w:pStyle w:val="AllowPageBreak"/>
      </w:pPr>
    </w:p>
    <w:p w:rsidR="00000000" w:rsidRPr="00F209BD" w:rsidP="00F209BD">
      <w:pPr>
        <w:pStyle w:val="Heading1"/>
      </w:pPr>
      <w:bookmarkStart w:id="13" w:name="O_422804"/>
      <w:bookmarkEnd w:id="13"/>
      <w:r w:rsidRPr="00F209BD">
        <w:t>Competency field</w:t>
      </w:r>
    </w:p>
    <w:p w:rsidR="00000000" w:rsidRPr="00F209BD" w:rsidP="00F209BD">
      <w:pPr>
        <w:pStyle w:val="BodyText"/>
      </w:pPr>
      <w:r w:rsidRPr="00F209BD">
        <w:t>Refer to Unit Sector(s).</w:t>
      </w:r>
    </w:p>
    <w:p w:rsidR="00000000" w:rsidRPr="00F209BD" w:rsidP="00F209BD">
      <w:pPr>
        <w:pStyle w:val="AllowPageBreak"/>
      </w:pPr>
    </w:p>
    <w:p w:rsidR="00000000" w:rsidRPr="00F209BD" w:rsidP="00F209BD">
      <w:pPr>
        <w:pStyle w:val="Heading1"/>
      </w:pPr>
      <w:bookmarkStart w:id="14" w:name="O_422805"/>
      <w:bookmarkEnd w:id="14"/>
      <w:r w:rsidRPr="00F209BD">
        <w:t>Co-requisite units</w:t>
      </w:r>
    </w:p>
    <w:p w:rsidR="00000000" w:rsidRPr="00F209BD" w:rsidP="00F209BD">
      <w:pPr>
        <w:pStyle w:val="BodyText"/>
      </w:pPr>
      <w:r w:rsidRPr="00F209BD">
        <w:t>Not applicable.</w:t>
      </w:r>
    </w:p>
    <w:p w:rsidR="00000000" w:rsidRPr="00F209BD" w:rsidP="00F209BD"/>
    <w:sectPr w:rsidSect="00F209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87C" w:rsidP="00D72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7C" w:rsidP="00F20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287C" w:rsidP="00F209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7287C" w:rsidP="00F209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87C" w:rsidP="00D728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7C" w:rsidP="00F209BD">
    <w:pPr>
      <w:pStyle w:val="Header"/>
      <w:framePr w:wrap="around"/>
    </w:pPr>
    <w:r>
      <w:fldChar w:fldCharType="begin"/>
    </w:r>
    <w:r>
      <w:instrText xml:space="preserve"> TITLE   \* MERGEFORMAT </w:instrText>
    </w:r>
    <w:r>
      <w:fldChar w:fldCharType="separate"/>
    </w:r>
    <w:r>
      <w:t>RIIBHD304B Set-up and prepare for open cut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87C" w:rsidP="00F209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2C9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E8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4AE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9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9BD"/>
    <w:pPr>
      <w:spacing w:before="360" w:after="60"/>
      <w:outlineLvl w:val="0"/>
    </w:pPr>
    <w:rPr>
      <w:sz w:val="32"/>
    </w:rPr>
  </w:style>
  <w:style w:type="paragraph" w:styleId="Heading2">
    <w:name w:val="heading 2"/>
    <w:basedOn w:val="HeadingBase"/>
    <w:next w:val="BodyText"/>
    <w:link w:val="Heading2Char"/>
    <w:qFormat/>
    <w:rsid w:val="00F209BD"/>
    <w:pPr>
      <w:keepLines/>
      <w:spacing w:before="240" w:after="120"/>
      <w:outlineLvl w:val="1"/>
    </w:pPr>
    <w:rPr>
      <w:sz w:val="28"/>
      <w:szCs w:val="40"/>
    </w:rPr>
  </w:style>
  <w:style w:type="paragraph" w:styleId="Heading3">
    <w:name w:val="heading 3"/>
    <w:basedOn w:val="HeadingBase"/>
    <w:next w:val="BodyText"/>
    <w:link w:val="Heading3Char"/>
    <w:qFormat/>
    <w:rsid w:val="00F209BD"/>
    <w:pPr>
      <w:spacing w:before="180" w:after="120"/>
      <w:outlineLvl w:val="2"/>
    </w:pPr>
    <w:rPr>
      <w:spacing w:val="-10"/>
      <w:kern w:val="32"/>
    </w:rPr>
  </w:style>
  <w:style w:type="paragraph" w:styleId="Heading4">
    <w:name w:val="heading 4"/>
    <w:basedOn w:val="HeadingBase"/>
    <w:next w:val="BodyText"/>
    <w:link w:val="Heading4Char"/>
    <w:qFormat/>
    <w:rsid w:val="00F209BD"/>
    <w:pPr>
      <w:spacing w:before="160" w:after="120"/>
      <w:outlineLvl w:val="3"/>
    </w:pPr>
    <w:rPr>
      <w:sz w:val="22"/>
    </w:rPr>
  </w:style>
  <w:style w:type="paragraph" w:styleId="Heading5">
    <w:name w:val="heading 5"/>
    <w:basedOn w:val="HeadingBase"/>
    <w:next w:val="Normal"/>
    <w:link w:val="Heading5Char"/>
    <w:qFormat/>
    <w:rsid w:val="00F209BD"/>
    <w:pPr>
      <w:spacing w:before="80"/>
      <w:outlineLvl w:val="4"/>
    </w:pPr>
    <w:rPr>
      <w:color w:val="918585"/>
      <w:sz w:val="20"/>
    </w:rPr>
  </w:style>
  <w:style w:type="paragraph" w:styleId="Heading6">
    <w:name w:val="heading 6"/>
    <w:basedOn w:val="HeadingBase"/>
    <w:next w:val="Normal"/>
    <w:link w:val="Heading6Char"/>
    <w:qFormat/>
    <w:rsid w:val="00F209BD"/>
    <w:pPr>
      <w:spacing w:before="60"/>
      <w:outlineLvl w:val="5"/>
    </w:pPr>
    <w:rPr>
      <w:color w:val="918585"/>
      <w:sz w:val="20"/>
    </w:rPr>
  </w:style>
  <w:style w:type="paragraph" w:styleId="Heading7">
    <w:name w:val="heading 7"/>
    <w:basedOn w:val="Normal"/>
    <w:next w:val="Normal"/>
    <w:link w:val="Heading7Char"/>
    <w:qFormat/>
    <w:rsid w:val="00F209BD"/>
    <w:pPr>
      <w:ind w:left="720"/>
      <w:outlineLvl w:val="6"/>
    </w:pPr>
    <w:rPr>
      <w:i/>
    </w:rPr>
  </w:style>
  <w:style w:type="paragraph" w:styleId="Heading8">
    <w:name w:val="heading 8"/>
    <w:basedOn w:val="Normal"/>
    <w:next w:val="Normal"/>
    <w:link w:val="Heading8Char"/>
    <w:qFormat/>
    <w:rsid w:val="00F209BD"/>
    <w:pPr>
      <w:ind w:left="720"/>
      <w:outlineLvl w:val="7"/>
    </w:pPr>
    <w:rPr>
      <w:i/>
    </w:rPr>
  </w:style>
  <w:style w:type="paragraph" w:styleId="Heading9">
    <w:name w:val="heading 9"/>
    <w:basedOn w:val="Normal"/>
    <w:next w:val="Normal"/>
    <w:link w:val="Heading9Char"/>
    <w:qFormat/>
    <w:rsid w:val="00F209BD"/>
    <w:pPr>
      <w:ind w:left="720"/>
      <w:outlineLvl w:val="8"/>
    </w:pPr>
    <w:rPr>
      <w:i/>
    </w:rPr>
  </w:style>
  <w:style w:type="character" w:default="1" w:styleId="DefaultParagraphFont">
    <w:name w:val="Default Paragraph Font"/>
    <w:uiPriority w:val="1"/>
    <w:unhideWhenUsed/>
    <w:rsid w:val="00F20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9BD"/>
  </w:style>
  <w:style w:type="character" w:customStyle="1" w:styleId="Heading1Char">
    <w:name w:val="Heading 1 Char"/>
    <w:basedOn w:val="DefaultParagraphFont"/>
    <w:link w:val="Heading1"/>
    <w:rsid w:val="00F209BD"/>
    <w:rPr>
      <w:rFonts w:ascii="Times New Roman" w:eastAsia="Times New Roman" w:hAnsi="Times New Roman" w:cs="Times New Roman"/>
      <w:b/>
      <w:sz w:val="32"/>
      <w:szCs w:val="20"/>
      <w:lang w:eastAsia="en-US"/>
    </w:rPr>
  </w:style>
  <w:style w:type="paragraph" w:styleId="BodyText">
    <w:name w:val="Body Text"/>
    <w:basedOn w:val="Normal"/>
    <w:link w:val="BodyTextChar"/>
    <w:rsid w:val="00F209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9BD"/>
    <w:rPr>
      <w:rFonts w:ascii="Times New Roman" w:eastAsia="Times New Roman" w:hAnsi="Times New Roman" w:cs="Times New Roman"/>
      <w:sz w:val="24"/>
      <w:lang w:val="en-US" w:eastAsia="en-US"/>
    </w:rPr>
  </w:style>
  <w:style w:type="paragraph" w:styleId="Footer">
    <w:name w:val="footer"/>
    <w:basedOn w:val="Normal"/>
    <w:link w:val="FooterChar"/>
    <w:rsid w:val="00F20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9BD"/>
    <w:rPr>
      <w:rFonts w:ascii="Times New Roman" w:eastAsia="Times New Roman" w:hAnsi="Times New Roman" w:cs="Times New Roman"/>
      <w:sz w:val="16"/>
      <w:lang w:val="en-US" w:eastAsia="en-US"/>
    </w:rPr>
  </w:style>
  <w:style w:type="paragraph" w:styleId="List">
    <w:name w:val="List"/>
    <w:basedOn w:val="BodyText"/>
    <w:next w:val="BodyText"/>
    <w:rsid w:val="00F209BD"/>
    <w:pPr>
      <w:tabs>
        <w:tab w:val="left" w:pos="340"/>
      </w:tabs>
      <w:spacing w:before="60" w:after="60"/>
      <w:ind w:left="340" w:hanging="340"/>
    </w:pPr>
  </w:style>
  <w:style w:type="paragraph" w:styleId="ListBullet">
    <w:name w:val="List Bullet"/>
    <w:basedOn w:val="List"/>
    <w:rsid w:val="00F209BD"/>
    <w:pPr>
      <w:numPr>
        <w:numId w:val="13"/>
      </w:numPr>
      <w:tabs>
        <w:tab w:val="clear" w:pos="340"/>
      </w:tabs>
      <w:spacing w:before="40" w:after="40"/>
    </w:pPr>
  </w:style>
  <w:style w:type="character" w:customStyle="1" w:styleId="SpecialBold">
    <w:name w:val="Special Bold"/>
    <w:basedOn w:val="DefaultParagraphFont"/>
    <w:rsid w:val="00F209BD"/>
    <w:rPr>
      <w:b/>
      <w:spacing w:val="0"/>
    </w:rPr>
  </w:style>
  <w:style w:type="paragraph" w:styleId="ListBullet2">
    <w:name w:val="List Bullet 2"/>
    <w:basedOn w:val="List2"/>
    <w:rsid w:val="00F209BD"/>
    <w:pPr>
      <w:numPr>
        <w:numId w:val="14"/>
      </w:numPr>
      <w:tabs>
        <w:tab w:val="clear" w:pos="680"/>
      </w:tabs>
    </w:pPr>
  </w:style>
  <w:style w:type="paragraph" w:styleId="Header">
    <w:name w:val="header"/>
    <w:basedOn w:val="Normal"/>
    <w:link w:val="HeaderChar"/>
    <w:rsid w:val="00F20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9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09BD"/>
    <w:pPr>
      <w:spacing w:before="240" w:after="120"/>
      <w:outlineLvl w:val="0"/>
    </w:pPr>
    <w:rPr>
      <w:rFonts w:ascii="Times New Roman" w:hAnsi="Times New Roman"/>
      <w:b/>
      <w:sz w:val="28"/>
    </w:rPr>
  </w:style>
  <w:style w:type="paragraph" w:customStyle="1" w:styleId="AllowPageBreak">
    <w:name w:val="AllowPageBreak"/>
    <w:rsid w:val="00F209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09BD"/>
    <w:pPr>
      <w:tabs>
        <w:tab w:val="left" w:pos="680"/>
      </w:tabs>
      <w:spacing w:before="60" w:after="60"/>
      <w:ind w:left="680" w:hanging="340"/>
    </w:pPr>
  </w:style>
  <w:style w:type="character" w:customStyle="1" w:styleId="BoldandItalics">
    <w:name w:val="Bold and Italics"/>
    <w:qFormat/>
    <w:rsid w:val="00F209BD"/>
    <w:rPr>
      <w:b/>
      <w:i/>
      <w:u w:val="none"/>
    </w:rPr>
  </w:style>
  <w:style w:type="character" w:customStyle="1" w:styleId="Heading2Char">
    <w:name w:val="Heading 2 Char"/>
    <w:basedOn w:val="DefaultParagraphFont"/>
    <w:link w:val="Heading2"/>
    <w:rsid w:val="00F20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9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9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9BD"/>
    <w:rPr>
      <w:rFonts w:ascii="Courier New" w:eastAsia="Times New Roman" w:hAnsi="Courier New" w:cs="Times New Roman"/>
      <w:i/>
      <w:szCs w:val="20"/>
      <w:lang w:val="en-US" w:eastAsia="en-US"/>
    </w:rPr>
  </w:style>
  <w:style w:type="paragraph" w:customStyle="1" w:styleId="HeadingBase">
    <w:name w:val="Heading Base"/>
    <w:rsid w:val="00F20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9BD"/>
    <w:pPr>
      <w:tabs>
        <w:tab w:val="right" w:leader="dot" w:pos="9072"/>
      </w:tabs>
      <w:ind w:left="567"/>
    </w:pPr>
    <w:rPr>
      <w:szCs w:val="22"/>
    </w:rPr>
  </w:style>
  <w:style w:type="paragraph" w:customStyle="1" w:styleId="TOCBase">
    <w:name w:val="TOC Base"/>
    <w:rsid w:val="00F20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9BD"/>
    <w:pPr>
      <w:tabs>
        <w:tab w:val="right" w:leader="dot" w:pos="9072"/>
      </w:tabs>
      <w:spacing w:before="40" w:after="40"/>
      <w:ind w:left="284"/>
    </w:pPr>
    <w:rPr>
      <w:rFonts w:ascii="Times New Roman" w:hAnsi="Times New Roman"/>
    </w:rPr>
  </w:style>
  <w:style w:type="paragraph" w:styleId="TOC1">
    <w:name w:val="toc 1"/>
    <w:basedOn w:val="TOCBase"/>
    <w:next w:val="Normal"/>
    <w:rsid w:val="00F209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9BD"/>
    <w:pPr>
      <w:spacing w:before="5040"/>
      <w:jc w:val="center"/>
    </w:pPr>
    <w:rPr>
      <w:sz w:val="48"/>
      <w:szCs w:val="72"/>
      <w:lang w:val="en-US"/>
    </w:rPr>
  </w:style>
  <w:style w:type="character" w:customStyle="1" w:styleId="TitleChar">
    <w:name w:val="Title Char"/>
    <w:basedOn w:val="DefaultParagraphFont"/>
    <w:link w:val="Title"/>
    <w:rsid w:val="00F20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9BD"/>
    <w:pPr>
      <w:tabs>
        <w:tab w:val="left" w:pos="3600"/>
        <w:tab w:val="left" w:pos="3958"/>
      </w:tabs>
    </w:pPr>
  </w:style>
  <w:style w:type="paragraph" w:customStyle="1" w:styleId="Note">
    <w:name w:val="Note"/>
    <w:basedOn w:val="BodyText"/>
    <w:rsid w:val="00F20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9BD"/>
    <w:pPr>
      <w:framePr w:wrap="auto" w:hAnchor="text" w:y="6049"/>
    </w:pPr>
    <w:rPr>
      <w:color w:val="000000"/>
      <w:sz w:val="40"/>
    </w:rPr>
  </w:style>
  <w:style w:type="paragraph" w:customStyle="1" w:styleId="TOCTitle">
    <w:name w:val="TOCTitle"/>
    <w:basedOn w:val="Heading1"/>
    <w:rsid w:val="00F209BD"/>
    <w:pPr>
      <w:spacing w:after="240"/>
      <w:jc w:val="center"/>
      <w:outlineLvl w:val="9"/>
    </w:pPr>
    <w:rPr>
      <w:caps/>
    </w:rPr>
  </w:style>
  <w:style w:type="paragraph" w:customStyle="1" w:styleId="Version">
    <w:name w:val="Version"/>
    <w:rsid w:val="00F20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9BD"/>
    <w:pPr>
      <w:keepNext w:val="0"/>
      <w:tabs>
        <w:tab w:val="right" w:pos="4176"/>
      </w:tabs>
      <w:ind w:left="198" w:hanging="198"/>
    </w:pPr>
    <w:rPr>
      <w:rFonts w:ascii="Garamond" w:hAnsi="Garamond"/>
    </w:rPr>
  </w:style>
  <w:style w:type="paragraph" w:styleId="IndexHeading">
    <w:name w:val="index heading"/>
    <w:basedOn w:val="Normal"/>
    <w:next w:val="Index1"/>
    <w:semiHidden/>
    <w:rsid w:val="00F209BD"/>
    <w:pPr>
      <w:spacing w:before="120" w:after="120"/>
    </w:pPr>
    <w:rPr>
      <w:rFonts w:ascii="Arial" w:hAnsi="Arial"/>
      <w:b/>
      <w:color w:val="918585"/>
      <w:sz w:val="24"/>
    </w:rPr>
  </w:style>
  <w:style w:type="paragraph" w:customStyle="1" w:styleId="Chapter">
    <w:name w:val="Chapter"/>
    <w:basedOn w:val="Normal"/>
    <w:rsid w:val="00F209BD"/>
    <w:pPr>
      <w:spacing w:before="240"/>
    </w:pPr>
    <w:rPr>
      <w:rFonts w:ascii="Times New Roman" w:hAnsi="Times New Roman"/>
      <w:smallCaps/>
      <w:spacing w:val="80"/>
      <w:sz w:val="28"/>
    </w:rPr>
  </w:style>
  <w:style w:type="paragraph" w:customStyle="1" w:styleId="InChapter">
    <w:name w:val="InChapter"/>
    <w:basedOn w:val="Heading3"/>
    <w:rsid w:val="00F209BD"/>
    <w:pPr>
      <w:spacing w:after="240"/>
      <w:outlineLvl w:val="9"/>
    </w:pPr>
    <w:rPr>
      <w:noProof/>
    </w:rPr>
  </w:style>
  <w:style w:type="paragraph" w:styleId="Index2">
    <w:name w:val="index 2"/>
    <w:basedOn w:val="Normal"/>
    <w:next w:val="Normal"/>
    <w:semiHidden/>
    <w:rsid w:val="00F209BD"/>
    <w:pPr>
      <w:tabs>
        <w:tab w:val="right" w:pos="4176"/>
      </w:tabs>
      <w:ind w:left="568" w:hanging="284"/>
    </w:pPr>
    <w:rPr>
      <w:rFonts w:ascii="Garamond" w:hAnsi="Garamond"/>
    </w:rPr>
  </w:style>
  <w:style w:type="paragraph" w:customStyle="1" w:styleId="Byline">
    <w:name w:val="Byline"/>
    <w:rsid w:val="00F20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9BD"/>
    <w:pPr>
      <w:tabs>
        <w:tab w:val="clear" w:pos="3600"/>
        <w:tab w:val="clear" w:pos="3958"/>
      </w:tabs>
      <w:jc w:val="right"/>
    </w:pPr>
  </w:style>
  <w:style w:type="character" w:styleId="Emphasis">
    <w:name w:val="Emphasis"/>
    <w:basedOn w:val="DefaultParagraphFont"/>
    <w:qFormat/>
    <w:rsid w:val="00F209BD"/>
    <w:rPr>
      <w:i/>
    </w:rPr>
  </w:style>
  <w:style w:type="paragraph" w:styleId="Caption">
    <w:name w:val="caption"/>
    <w:basedOn w:val="BodyText"/>
    <w:next w:val="Normal"/>
    <w:qFormat/>
    <w:rsid w:val="00F209BD"/>
    <w:pPr>
      <w:framePr w:w="2268" w:hSpace="181" w:vSpace="181" w:wrap="around" w:vAnchor="text" w:hAnchor="page" w:x="1135" w:y="285" w:anchorLock="1"/>
    </w:pPr>
    <w:rPr>
      <w:i/>
    </w:rPr>
  </w:style>
  <w:style w:type="paragraph" w:customStyle="1" w:styleId="MiniTOCTitle">
    <w:name w:val="MiniTOCTitle"/>
    <w:basedOn w:val="Heading4"/>
    <w:rsid w:val="00F209BD"/>
    <w:pPr>
      <w:spacing w:before="240"/>
      <w:outlineLvl w:val="9"/>
    </w:pPr>
    <w:rPr>
      <w:noProof/>
      <w:sz w:val="24"/>
    </w:rPr>
  </w:style>
  <w:style w:type="paragraph" w:customStyle="1" w:styleId="MiniTOCItem">
    <w:name w:val="MiniTOCItem"/>
    <w:basedOn w:val="ListBullet"/>
    <w:rsid w:val="00F209BD"/>
    <w:pPr>
      <w:numPr>
        <w:numId w:val="0"/>
      </w:numPr>
      <w:tabs>
        <w:tab w:val="right" w:leader="dot" w:pos="6521"/>
      </w:tabs>
      <w:spacing w:before="0" w:after="0"/>
    </w:pPr>
  </w:style>
  <w:style w:type="paragraph" w:customStyle="1" w:styleId="TOFTitle">
    <w:name w:val="TOFTitle"/>
    <w:basedOn w:val="TOCTitle"/>
    <w:rsid w:val="00F209BD"/>
  </w:style>
  <w:style w:type="paragraph" w:styleId="TableofFigures">
    <w:name w:val="table of figures"/>
    <w:basedOn w:val="Normal"/>
    <w:next w:val="Normal"/>
    <w:semiHidden/>
    <w:rsid w:val="00F209BD"/>
    <w:pPr>
      <w:tabs>
        <w:tab w:val="right" w:leader="dot" w:pos="9072"/>
      </w:tabs>
      <w:ind w:left="970" w:hanging="403"/>
    </w:pPr>
    <w:rPr>
      <w:rFonts w:ascii="Times New Roman" w:hAnsi="Times New Roman"/>
      <w:b/>
    </w:rPr>
  </w:style>
  <w:style w:type="paragraph" w:styleId="ListNumber">
    <w:name w:val="List Number"/>
    <w:basedOn w:val="List"/>
    <w:rsid w:val="00F209BD"/>
    <w:pPr>
      <w:numPr>
        <w:numId w:val="11"/>
      </w:numPr>
    </w:pPr>
  </w:style>
  <w:style w:type="character" w:customStyle="1" w:styleId="WingdingSymbols">
    <w:name w:val="Wingding Symbols"/>
    <w:rsid w:val="00F209BD"/>
    <w:rPr>
      <w:rFonts w:ascii="Wingdings" w:hAnsi="Wingdings"/>
    </w:rPr>
  </w:style>
  <w:style w:type="paragraph" w:customStyle="1" w:styleId="TableHeading">
    <w:name w:val="Table Heading"/>
    <w:basedOn w:val="HeadingBase"/>
    <w:rsid w:val="00F209BD"/>
    <w:pPr>
      <w:keepLines/>
      <w:pBdr>
        <w:bottom w:val="single" w:sz="6" w:space="1" w:color="918585"/>
      </w:pBdr>
      <w:spacing w:before="240"/>
    </w:pPr>
  </w:style>
  <w:style w:type="character" w:customStyle="1" w:styleId="HotSpot">
    <w:name w:val="HotSpot"/>
    <w:rsid w:val="00F209BD"/>
    <w:rPr>
      <w:color w:val="0033CC"/>
      <w:u w:val="none"/>
    </w:rPr>
  </w:style>
  <w:style w:type="paragraph" w:customStyle="1" w:styleId="BodyTextRight">
    <w:name w:val="Body Text Right"/>
    <w:basedOn w:val="BodyText"/>
    <w:rsid w:val="00F209BD"/>
    <w:pPr>
      <w:spacing w:before="0" w:after="0"/>
      <w:jc w:val="right"/>
    </w:pPr>
  </w:style>
  <w:style w:type="paragraph" w:styleId="Index3">
    <w:name w:val="index 3"/>
    <w:basedOn w:val="ListNumber2"/>
    <w:next w:val="Normal"/>
    <w:semiHidden/>
    <w:rsid w:val="00F209BD"/>
    <w:pPr>
      <w:numPr>
        <w:numId w:val="0"/>
      </w:numPr>
      <w:tabs>
        <w:tab w:val="right" w:leader="dot" w:pos="4176"/>
      </w:tabs>
    </w:pPr>
  </w:style>
  <w:style w:type="paragraph" w:styleId="ListNumber2">
    <w:name w:val="List Number 2"/>
    <w:basedOn w:val="List2"/>
    <w:rsid w:val="00F209BD"/>
    <w:pPr>
      <w:numPr>
        <w:numId w:val="10"/>
      </w:numPr>
      <w:tabs>
        <w:tab w:val="clear" w:pos="1060"/>
      </w:tabs>
    </w:pPr>
  </w:style>
  <w:style w:type="paragraph" w:customStyle="1" w:styleId="MarginNote">
    <w:name w:val="Margin Note"/>
    <w:basedOn w:val="BodyText"/>
    <w:rsid w:val="00F20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9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9BD"/>
    <w:rPr>
      <w:sz w:val="32"/>
    </w:rPr>
  </w:style>
  <w:style w:type="paragraph" w:customStyle="1" w:styleId="HeadingProcedure">
    <w:name w:val="Heading Procedure"/>
    <w:basedOn w:val="HeadingBase"/>
    <w:next w:val="Normal"/>
    <w:rsid w:val="00F209BD"/>
    <w:pPr>
      <w:tabs>
        <w:tab w:val="left" w:pos="0"/>
      </w:tabs>
      <w:spacing w:before="120" w:after="60"/>
    </w:pPr>
    <w:rPr>
      <w:i/>
      <w:color w:val="918585"/>
      <w:sz w:val="22"/>
    </w:rPr>
  </w:style>
  <w:style w:type="paragraph" w:customStyle="1" w:styleId="TableBodyText">
    <w:name w:val="Table Body Text"/>
    <w:basedOn w:val="BodyText"/>
    <w:rsid w:val="00F209BD"/>
    <w:pPr>
      <w:spacing w:before="60" w:after="60"/>
    </w:pPr>
  </w:style>
  <w:style w:type="paragraph" w:styleId="ListContinue">
    <w:name w:val="List Continue"/>
    <w:basedOn w:val="List"/>
    <w:rsid w:val="00F209BD"/>
    <w:pPr>
      <w:ind w:firstLine="0"/>
    </w:pPr>
  </w:style>
  <w:style w:type="paragraph" w:customStyle="1" w:styleId="ListNote">
    <w:name w:val="List Note"/>
    <w:basedOn w:val="List"/>
    <w:rsid w:val="00F209BD"/>
    <w:pPr>
      <w:pBdr>
        <w:top w:val="single" w:sz="6" w:space="2" w:color="918585"/>
        <w:bottom w:val="single" w:sz="6" w:space="2" w:color="918585"/>
      </w:pBdr>
      <w:tabs>
        <w:tab w:val="left" w:pos="1021"/>
      </w:tabs>
      <w:ind w:firstLine="0"/>
    </w:pPr>
  </w:style>
  <w:style w:type="paragraph" w:customStyle="1" w:styleId="Warning">
    <w:name w:val="Warning"/>
    <w:basedOn w:val="BodyText"/>
    <w:rsid w:val="00F209BD"/>
    <w:pPr>
      <w:shd w:val="clear" w:color="auto" w:fill="D9D9D9"/>
      <w:tabs>
        <w:tab w:val="left" w:pos="992"/>
      </w:tabs>
      <w:ind w:left="119" w:right="119"/>
    </w:pPr>
    <w:rPr>
      <w:sz w:val="20"/>
    </w:rPr>
  </w:style>
  <w:style w:type="paragraph" w:customStyle="1" w:styleId="MarginIcons">
    <w:name w:val="Margin Icons"/>
    <w:basedOn w:val="BodyText"/>
    <w:rsid w:val="00F20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9BD"/>
    <w:rPr>
      <w:rFonts w:ascii="Courier New" w:hAnsi="Courier New"/>
    </w:rPr>
  </w:style>
  <w:style w:type="paragraph" w:customStyle="1" w:styleId="NoteBullet">
    <w:name w:val="Note Bullet"/>
    <w:basedOn w:val="Note"/>
    <w:rsid w:val="00F209BD"/>
    <w:pPr>
      <w:tabs>
        <w:tab w:val="clear" w:pos="680"/>
      </w:tabs>
      <w:spacing w:before="60" w:after="60"/>
    </w:pPr>
  </w:style>
  <w:style w:type="paragraph" w:customStyle="1" w:styleId="SubHeading2">
    <w:name w:val="SubHeading2"/>
    <w:basedOn w:val="HeadingBase"/>
    <w:rsid w:val="00F209BD"/>
    <w:pPr>
      <w:spacing w:before="240" w:after="60"/>
    </w:pPr>
    <w:rPr>
      <w:sz w:val="20"/>
    </w:rPr>
  </w:style>
  <w:style w:type="paragraph" w:customStyle="1" w:styleId="SubHeading1">
    <w:name w:val="SubHeading1"/>
    <w:basedOn w:val="HeadingBase"/>
    <w:rsid w:val="00F209BD"/>
    <w:pPr>
      <w:spacing w:before="240" w:after="60"/>
    </w:pPr>
    <w:rPr>
      <w:color w:val="918585"/>
      <w:sz w:val="22"/>
    </w:rPr>
  </w:style>
  <w:style w:type="paragraph" w:customStyle="1" w:styleId="SideHeading">
    <w:name w:val="Side Heading"/>
    <w:basedOn w:val="HeadingBase"/>
    <w:rsid w:val="00F20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9BD"/>
    <w:pPr>
      <w:numPr>
        <w:numId w:val="12"/>
      </w:numPr>
    </w:pPr>
  </w:style>
  <w:style w:type="paragraph" w:styleId="PlainText">
    <w:name w:val="Plain Text"/>
    <w:basedOn w:val="Normal"/>
    <w:link w:val="PlainTextChar"/>
    <w:rsid w:val="00F209BD"/>
    <w:rPr>
      <w:sz w:val="20"/>
    </w:rPr>
  </w:style>
  <w:style w:type="character" w:customStyle="1" w:styleId="PlainTextChar">
    <w:name w:val="Plain Text Char"/>
    <w:basedOn w:val="DefaultParagraphFont"/>
    <w:link w:val="PlainText"/>
    <w:rsid w:val="00F209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9BD"/>
    <w:rPr>
      <w:b/>
      <w:smallCaps/>
    </w:rPr>
  </w:style>
  <w:style w:type="paragraph" w:customStyle="1" w:styleId="TableListNumber">
    <w:name w:val="Table List Number"/>
    <w:basedOn w:val="ListNumber"/>
    <w:rsid w:val="00F209BD"/>
    <w:pPr>
      <w:numPr>
        <w:numId w:val="0"/>
      </w:numPr>
    </w:pPr>
  </w:style>
  <w:style w:type="paragraph" w:styleId="TOC4">
    <w:name w:val="toc 4"/>
    <w:basedOn w:val="TOCBase"/>
    <w:next w:val="Normal"/>
    <w:semiHidden/>
    <w:rsid w:val="00F209BD"/>
    <w:pPr>
      <w:tabs>
        <w:tab w:val="right" w:leader="dot" w:pos="9071"/>
      </w:tabs>
      <w:ind w:left="1701"/>
    </w:pPr>
  </w:style>
  <w:style w:type="paragraph" w:customStyle="1" w:styleId="ListAlpha">
    <w:name w:val="List Alpha"/>
    <w:basedOn w:val="List"/>
    <w:rsid w:val="00F209BD"/>
    <w:pPr>
      <w:numPr>
        <w:numId w:val="9"/>
      </w:numPr>
    </w:pPr>
  </w:style>
  <w:style w:type="paragraph" w:customStyle="1" w:styleId="ListAlpha2">
    <w:name w:val="List Alpha 2"/>
    <w:basedOn w:val="List2"/>
    <w:rsid w:val="00F209BD"/>
    <w:pPr>
      <w:numPr>
        <w:numId w:val="8"/>
      </w:numPr>
    </w:pPr>
  </w:style>
  <w:style w:type="paragraph" w:styleId="List3">
    <w:name w:val="List 3"/>
    <w:basedOn w:val="BodyText"/>
    <w:rsid w:val="00F209BD"/>
    <w:pPr>
      <w:tabs>
        <w:tab w:val="left" w:pos="1021"/>
      </w:tabs>
      <w:spacing w:before="60" w:after="60"/>
      <w:ind w:left="1020" w:hanging="340"/>
    </w:pPr>
  </w:style>
  <w:style w:type="paragraph" w:styleId="List4">
    <w:name w:val="List 4"/>
    <w:basedOn w:val="BodyText"/>
    <w:rsid w:val="00F209BD"/>
    <w:pPr>
      <w:tabs>
        <w:tab w:val="left" w:pos="1361"/>
      </w:tabs>
      <w:spacing w:before="60" w:after="60"/>
      <w:ind w:left="1361" w:hanging="340"/>
    </w:pPr>
  </w:style>
  <w:style w:type="paragraph" w:styleId="List5">
    <w:name w:val="List 5"/>
    <w:basedOn w:val="BodyText"/>
    <w:rsid w:val="00F209BD"/>
    <w:pPr>
      <w:tabs>
        <w:tab w:val="left" w:pos="1701"/>
      </w:tabs>
      <w:spacing w:before="60" w:after="60"/>
      <w:ind w:left="1701" w:hanging="340"/>
    </w:pPr>
  </w:style>
  <w:style w:type="paragraph" w:styleId="ListBullet3">
    <w:name w:val="List Bullet 3"/>
    <w:basedOn w:val="List3"/>
    <w:rsid w:val="00F209BD"/>
    <w:pPr>
      <w:numPr>
        <w:numId w:val="15"/>
      </w:numPr>
      <w:tabs>
        <w:tab w:val="clear" w:pos="1021"/>
      </w:tabs>
      <w:ind w:left="1037" w:hanging="357"/>
    </w:pPr>
  </w:style>
  <w:style w:type="paragraph" w:styleId="ListBullet4">
    <w:name w:val="List Bullet 4"/>
    <w:basedOn w:val="List4"/>
    <w:rsid w:val="00F209BD"/>
    <w:pPr>
      <w:numPr>
        <w:numId w:val="3"/>
      </w:numPr>
    </w:pPr>
  </w:style>
  <w:style w:type="paragraph" w:styleId="ListBullet5">
    <w:name w:val="List Bullet 5"/>
    <w:basedOn w:val="List5"/>
    <w:rsid w:val="00F209BD"/>
    <w:pPr>
      <w:numPr>
        <w:numId w:val="4"/>
      </w:numPr>
    </w:pPr>
  </w:style>
  <w:style w:type="paragraph" w:styleId="ListContinue2">
    <w:name w:val="List Continue 2"/>
    <w:basedOn w:val="List2"/>
    <w:rsid w:val="00F209BD"/>
    <w:pPr>
      <w:ind w:firstLine="0"/>
    </w:pPr>
  </w:style>
  <w:style w:type="paragraph" w:styleId="ListContinue3">
    <w:name w:val="List Continue 3"/>
    <w:basedOn w:val="List3"/>
    <w:rsid w:val="00F209BD"/>
    <w:pPr>
      <w:ind w:left="1021" w:firstLine="0"/>
    </w:pPr>
  </w:style>
  <w:style w:type="paragraph" w:styleId="ListContinue4">
    <w:name w:val="List Continue 4"/>
    <w:basedOn w:val="List4"/>
    <w:rsid w:val="00F209BD"/>
    <w:pPr>
      <w:ind w:firstLine="0"/>
    </w:pPr>
  </w:style>
  <w:style w:type="paragraph" w:styleId="ListContinue5">
    <w:name w:val="List Continue 5"/>
    <w:basedOn w:val="List5"/>
    <w:rsid w:val="00F209BD"/>
    <w:pPr>
      <w:ind w:firstLine="0"/>
    </w:pPr>
  </w:style>
  <w:style w:type="paragraph" w:styleId="ListNumber3">
    <w:name w:val="List Number 3"/>
    <w:basedOn w:val="List3"/>
    <w:rsid w:val="00F209BD"/>
    <w:pPr>
      <w:numPr>
        <w:numId w:val="5"/>
      </w:numPr>
    </w:pPr>
  </w:style>
  <w:style w:type="paragraph" w:styleId="ListNumber4">
    <w:name w:val="List Number 4"/>
    <w:basedOn w:val="List4"/>
    <w:rsid w:val="00F209BD"/>
    <w:pPr>
      <w:numPr>
        <w:numId w:val="6"/>
      </w:numPr>
    </w:pPr>
  </w:style>
  <w:style w:type="paragraph" w:styleId="ListNumber5">
    <w:name w:val="List Number 5"/>
    <w:basedOn w:val="List5"/>
    <w:rsid w:val="00F209BD"/>
    <w:pPr>
      <w:numPr>
        <w:numId w:val="7"/>
      </w:numPr>
    </w:pPr>
  </w:style>
  <w:style w:type="paragraph" w:styleId="BlockText">
    <w:name w:val="Block Text"/>
    <w:basedOn w:val="Normal"/>
    <w:rsid w:val="00F209BD"/>
    <w:pPr>
      <w:spacing w:after="120"/>
      <w:ind w:left="1440" w:right="1440"/>
    </w:pPr>
  </w:style>
  <w:style w:type="character" w:customStyle="1" w:styleId="Subscript">
    <w:name w:val="Subscript"/>
    <w:basedOn w:val="DefaultParagraphFont"/>
    <w:rsid w:val="00F209BD"/>
    <w:rPr>
      <w:sz w:val="16"/>
      <w:vertAlign w:val="subscript"/>
    </w:rPr>
  </w:style>
  <w:style w:type="character" w:customStyle="1" w:styleId="Superscript">
    <w:name w:val="Superscript"/>
    <w:basedOn w:val="DefaultParagraphFont"/>
    <w:rsid w:val="00F209BD"/>
    <w:rPr>
      <w:sz w:val="16"/>
      <w:vertAlign w:val="superscript"/>
    </w:rPr>
  </w:style>
  <w:style w:type="character" w:customStyle="1" w:styleId="Symbols">
    <w:name w:val="Symbols"/>
    <w:basedOn w:val="DefaultParagraphFont"/>
    <w:rsid w:val="00F209BD"/>
    <w:rPr>
      <w:rFonts w:ascii="Symbol" w:hAnsi="Symbol"/>
    </w:rPr>
  </w:style>
  <w:style w:type="character" w:customStyle="1" w:styleId="MenuOptions">
    <w:name w:val="Menu Options"/>
    <w:basedOn w:val="DefaultParagraphFont"/>
    <w:rsid w:val="00F209BD"/>
    <w:rPr>
      <w:rFonts w:ascii="Arial Narrow" w:hAnsi="Arial Narrow"/>
      <w:smallCaps/>
    </w:rPr>
  </w:style>
  <w:style w:type="character" w:customStyle="1" w:styleId="Buttons">
    <w:name w:val="Buttons"/>
    <w:basedOn w:val="DefaultParagraphFont"/>
    <w:rsid w:val="00F209BD"/>
    <w:rPr>
      <w:b/>
    </w:rPr>
  </w:style>
  <w:style w:type="character" w:customStyle="1" w:styleId="Underlined">
    <w:name w:val="Underlined"/>
    <w:basedOn w:val="DefaultParagraphFont"/>
    <w:rsid w:val="00F209BD"/>
    <w:rPr>
      <w:u w:val="single"/>
    </w:rPr>
  </w:style>
  <w:style w:type="paragraph" w:customStyle="1" w:styleId="TableBodyTextRight">
    <w:name w:val="Table Body Text Right"/>
    <w:basedOn w:val="TableBodyText"/>
    <w:rsid w:val="00F209BD"/>
    <w:pPr>
      <w:widowControl w:val="0"/>
      <w:autoSpaceDE w:val="0"/>
      <w:autoSpaceDN w:val="0"/>
      <w:adjustRightInd w:val="0"/>
      <w:jc w:val="right"/>
    </w:pPr>
    <w:rPr>
      <w:rFonts w:cs="Arial"/>
      <w:szCs w:val="18"/>
    </w:rPr>
  </w:style>
  <w:style w:type="paragraph" w:customStyle="1" w:styleId="CopyrightText">
    <w:name w:val="Copyright Text"/>
    <w:basedOn w:val="BodyText"/>
    <w:rsid w:val="00F209BD"/>
    <w:rPr>
      <w:sz w:val="18"/>
    </w:rPr>
  </w:style>
  <w:style w:type="paragraph" w:customStyle="1" w:styleId="BodySmallRight">
    <w:name w:val="Body Small Right"/>
    <w:basedOn w:val="BodyTextRight"/>
    <w:rsid w:val="00F209BD"/>
    <w:rPr>
      <w:sz w:val="18"/>
      <w:szCs w:val="18"/>
    </w:rPr>
  </w:style>
  <w:style w:type="paragraph" w:customStyle="1" w:styleId="MarginEdition">
    <w:name w:val="Margin Edition"/>
    <w:basedOn w:val="MarginNote"/>
    <w:rsid w:val="00F209BD"/>
    <w:pPr>
      <w:spacing w:before="0" w:after="0"/>
    </w:pPr>
    <w:rPr>
      <w:rFonts w:ascii="Times New Roman" w:hAnsi="Times New Roman"/>
      <w:color w:val="999999"/>
    </w:rPr>
  </w:style>
  <w:style w:type="paragraph" w:customStyle="1" w:styleId="Spacer">
    <w:name w:val="Spacer"/>
    <w:basedOn w:val="Normal"/>
    <w:rsid w:val="00F209BD"/>
    <w:rPr>
      <w:sz w:val="2"/>
      <w:szCs w:val="2"/>
    </w:rPr>
  </w:style>
  <w:style w:type="character" w:customStyle="1" w:styleId="Small">
    <w:name w:val="Small"/>
    <w:basedOn w:val="DefaultParagraphFont"/>
    <w:rsid w:val="00F209BD"/>
    <w:rPr>
      <w:sz w:val="16"/>
    </w:rPr>
  </w:style>
  <w:style w:type="paragraph" w:customStyle="1" w:styleId="WideTable">
    <w:name w:val="Wide Table"/>
    <w:basedOn w:val="Normal"/>
    <w:rsid w:val="00F209BD"/>
    <w:pPr>
      <w:ind w:left="-1418"/>
    </w:pPr>
    <w:rPr>
      <w:sz w:val="2"/>
      <w:szCs w:val="2"/>
    </w:rPr>
  </w:style>
  <w:style w:type="character" w:styleId="PageNumber">
    <w:name w:val="page number"/>
    <w:basedOn w:val="DefaultParagraphFont"/>
    <w:rsid w:val="00F209BD"/>
  </w:style>
  <w:style w:type="paragraph" w:styleId="Quote">
    <w:name w:val="Quote"/>
    <w:basedOn w:val="Heading1"/>
    <w:link w:val="QuoteChar"/>
    <w:qFormat/>
    <w:rsid w:val="00F209BD"/>
    <w:rPr>
      <w:b w:val="0"/>
      <w:sz w:val="72"/>
      <w:szCs w:val="72"/>
      <w:lang w:val="en-NZ"/>
    </w:rPr>
  </w:style>
  <w:style w:type="character" w:customStyle="1" w:styleId="QuoteChar">
    <w:name w:val="Quote Char"/>
    <w:basedOn w:val="DefaultParagraphFont"/>
    <w:link w:val="Quote"/>
    <w:rsid w:val="00F20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9BD"/>
    <w:pPr>
      <w:pageBreakBefore/>
    </w:pPr>
  </w:style>
  <w:style w:type="paragraph" w:customStyle="1" w:styleId="Border">
    <w:name w:val="Border"/>
    <w:basedOn w:val="Normal"/>
    <w:qFormat/>
    <w:rsid w:val="00F20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9BD"/>
    <w:rPr>
      <w:b/>
      <w:bCs/>
      <w:i/>
      <w:iCs/>
      <w:color w:val="auto"/>
    </w:rPr>
  </w:style>
  <w:style w:type="paragraph" w:styleId="IntenseQuote">
    <w:name w:val="Intense Quote"/>
    <w:basedOn w:val="Normal"/>
    <w:next w:val="Normal"/>
    <w:link w:val="IntenseQuoteChar"/>
    <w:uiPriority w:val="30"/>
    <w:qFormat/>
    <w:rsid w:val="00F20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9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9BD"/>
    <w:rPr>
      <w:smallCaps/>
      <w:color w:val="auto"/>
      <w:u w:val="single"/>
    </w:rPr>
  </w:style>
  <w:style w:type="character" w:styleId="IntenseReference">
    <w:name w:val="Intense Reference"/>
    <w:basedOn w:val="DefaultParagraphFont"/>
    <w:uiPriority w:val="32"/>
    <w:qFormat/>
    <w:rsid w:val="00F209BD"/>
    <w:rPr>
      <w:b/>
      <w:bCs/>
      <w:smallCaps/>
      <w:color w:val="auto"/>
      <w:spacing w:val="5"/>
      <w:u w:val="single"/>
    </w:rPr>
  </w:style>
  <w:style w:type="paragraph" w:customStyle="1" w:styleId="2ColumnHeading">
    <w:name w:val="2Column Heading"/>
    <w:basedOn w:val="BodyText"/>
    <w:qFormat/>
    <w:rsid w:val="00F209BD"/>
    <w:pPr>
      <w:spacing w:after="60"/>
      <w:ind w:left="-2268"/>
    </w:pPr>
    <w:rPr>
      <w:b/>
    </w:rPr>
  </w:style>
  <w:style w:type="paragraph" w:customStyle="1" w:styleId="Heading1TOC">
    <w:name w:val="Heading1 TOC"/>
    <w:basedOn w:val="Normal"/>
    <w:qFormat/>
    <w:rsid w:val="00F209BD"/>
    <w:pPr>
      <w:spacing w:before="240" w:after="120"/>
    </w:pPr>
    <w:rPr>
      <w:rFonts w:ascii="Times New Roman" w:hAnsi="Times New Roman"/>
      <w:b/>
      <w:sz w:val="32"/>
    </w:rPr>
  </w:style>
  <w:style w:type="paragraph" w:customStyle="1" w:styleId="Heading2TOC">
    <w:name w:val="Heading2 TOC"/>
    <w:basedOn w:val="Normal"/>
    <w:qFormat/>
    <w:rsid w:val="00F209BD"/>
    <w:pPr>
      <w:spacing w:before="240" w:after="60"/>
    </w:pPr>
    <w:rPr>
      <w:rFonts w:ascii="Times New Roman" w:hAnsi="Times New Roman"/>
      <w:b/>
      <w:sz w:val="28"/>
    </w:rPr>
  </w:style>
  <w:style w:type="character" w:customStyle="1" w:styleId="Underline">
    <w:name w:val="Underline"/>
    <w:basedOn w:val="DefaultParagraphFont"/>
    <w:qFormat/>
    <w:rsid w:val="00F209BD"/>
    <w:rPr>
      <w:u w:val="single"/>
    </w:rPr>
  </w:style>
  <w:style w:type="paragraph" w:styleId="BalloonText">
    <w:name w:val="Balloon Text"/>
    <w:basedOn w:val="Normal"/>
    <w:link w:val="BalloonTextChar"/>
    <w:rsid w:val="00F209BD"/>
    <w:rPr>
      <w:rFonts w:ascii="Tahoma" w:hAnsi="Tahoma" w:cs="Tahoma"/>
      <w:sz w:val="16"/>
      <w:szCs w:val="16"/>
    </w:rPr>
  </w:style>
  <w:style w:type="character" w:customStyle="1" w:styleId="BalloonTextChar">
    <w:name w:val="Balloon Text Char"/>
    <w:basedOn w:val="DefaultParagraphFont"/>
    <w:link w:val="BalloonText"/>
    <w:rsid w:val="00F209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9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9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1411</Words>
  <Characters>8890</Characters>
  <Application>Microsoft Office Word</Application>
  <DocSecurity>0</DocSecurity>
  <Lines>328</Lines>
  <Paragraphs>186</Paragraphs>
  <ScaleCrop>false</ScaleCrop>
  <Company>Author-it Software Corporation Ltd.</Company>
  <LinksUpToDate>false</LinksUpToDate>
  <CharactersWithSpaces>10231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RIIBHD304B Set-up and prepare for open cut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