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65049" w:rsidP="00E650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RIIWSV503D Manage and monitor rig-up operations</w:t>
      </w:r>
      <w:r>
        <w:fldChar w:fldCharType="end"/>
      </w:r>
    </w:p>
    <w:p w:rsidR="00E65049" w:rsidP="00E65049">
      <w:pPr>
        <w:pStyle w:val="Version"/>
        <w:sectPr w:rsidSect="002E12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E12D0" w:rsidP="002E12D0">
      <w:pPr>
        <w:pStyle w:val="SuperHeading"/>
      </w:pPr>
      <w:r w:rsidRPr="002E12D0">
        <w:t>Assessment Requirements for RIIWSV503D Manage and monitor rig-up operations</w:t>
      </w:r>
    </w:p>
    <w:p w:rsidR="00000000" w:rsidRPr="002E12D0" w:rsidP="002E12D0">
      <w:pPr>
        <w:pStyle w:val="Heading1"/>
      </w:pPr>
      <w:bookmarkStart w:id="1" w:name="O_692651"/>
      <w:bookmarkEnd w:id="1"/>
      <w:r w:rsidRPr="002E12D0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E650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D0">
            <w:pPr>
              <w:pStyle w:val="Heading4"/>
              <w:rPr>
                <w:lang w:val="en-NZ"/>
              </w:rPr>
            </w:pPr>
            <w:r w:rsidRPr="002E12D0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D0">
            <w:pPr>
              <w:pStyle w:val="Heading4"/>
              <w:rPr>
                <w:lang w:val="en-NZ"/>
              </w:rPr>
            </w:pPr>
            <w:r w:rsidRPr="002E12D0">
              <w:t>Comment</w:t>
            </w:r>
          </w:p>
        </w:tc>
      </w:tr>
      <w:tr w:rsidTr="00E650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D0">
            <w:pPr>
              <w:pStyle w:val="BodyText"/>
              <w:rPr>
                <w:lang w:val="en-NZ"/>
              </w:rPr>
            </w:pPr>
            <w:r w:rsidRPr="002E12D0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D0">
            <w:pPr>
              <w:pStyle w:val="BodyText"/>
              <w:rPr>
                <w:lang w:val="en-NZ"/>
              </w:rPr>
            </w:pPr>
            <w:r w:rsidRPr="002E12D0">
              <w:t>This is a new unit</w:t>
            </w:r>
          </w:p>
        </w:tc>
      </w:tr>
      <w:tr w:rsidTr="00E650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D0">
            <w:pPr>
              <w:pStyle w:val="BodyText"/>
              <w:rPr>
                <w:lang w:val="en-NZ"/>
              </w:rPr>
            </w:pPr>
            <w:r w:rsidRPr="002E12D0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D0">
            <w:pPr>
              <w:pStyle w:val="BodyText"/>
              <w:rPr>
                <w:lang w:val="en-NZ"/>
              </w:rPr>
            </w:pPr>
            <w:r w:rsidRPr="002E12D0">
              <w:t>Editorial corrections</w:t>
            </w:r>
          </w:p>
        </w:tc>
      </w:tr>
      <w:tr w:rsidTr="00E650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12D0">
            <w:pPr>
              <w:pStyle w:val="BodyText"/>
              <w:rPr>
                <w:lang w:val="en-NZ"/>
              </w:rPr>
            </w:pPr>
            <w:r w:rsidRPr="002E12D0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12D0" w:rsidP="002E12D0">
            <w:pPr>
              <w:pStyle w:val="BodyText"/>
            </w:pPr>
            <w:r w:rsidRPr="002E12D0">
              <w:t>Required frequency and volume of evidence amended in Performance evidence.</w:t>
            </w:r>
          </w:p>
          <w:p w:rsidR="00000000" w:rsidRPr="002E12D0" w:rsidP="002E12D0">
            <w:pPr>
              <w:pStyle w:val="BodyText"/>
            </w:pPr>
            <w:r w:rsidRPr="002E12D0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2E12D0" w:rsidP="002E12D0">
      <w:pPr>
        <w:pStyle w:val="BodyText"/>
      </w:pPr>
    </w:p>
    <w:p w:rsidR="00000000" w:rsidRPr="002E12D0" w:rsidP="002E12D0">
      <w:pPr>
        <w:pStyle w:val="AllowPageBreak"/>
      </w:pPr>
    </w:p>
    <w:p w:rsidR="00000000" w:rsidRPr="002E12D0" w:rsidP="002E12D0">
      <w:pPr>
        <w:pStyle w:val="Heading1"/>
      </w:pPr>
      <w:bookmarkStart w:id="2" w:name="O_692650"/>
      <w:bookmarkEnd w:id="2"/>
      <w:r w:rsidRPr="002E12D0">
        <w:t>Performance Evidence</w:t>
      </w:r>
    </w:p>
    <w:p w:rsidR="00000000" w:rsidRPr="002E12D0" w:rsidP="00E65049">
      <w:pPr>
        <w:pStyle w:val="BodyText"/>
      </w:pPr>
      <w:r w:rsidRPr="002E12D0">
        <w:t>Evidence is required to be collected that demonstrates a candidate’s competency in this unit. Evidence must be relevant to the roles within this sector’s work operations and satisfy all of the requirements of the performance criteria o</w:t>
      </w:r>
      <w:r w:rsidRPr="002E12D0">
        <w:t>f this unit and include evidence that the candidate:</w:t>
      </w:r>
    </w:p>
    <w:p w:rsidR="00000000" w:rsidRPr="002E12D0" w:rsidP="002E12D0">
      <w:pPr>
        <w:pStyle w:val="ListBullet"/>
      </w:pPr>
      <w:r w:rsidRPr="002E12D0">
        <w:t>locates and applies relevant legislation, documentation, policies and procedures</w:t>
      </w:r>
    </w:p>
    <w:p w:rsidR="00000000" w:rsidRPr="002E12D0" w:rsidP="002E12D0">
      <w:pPr>
        <w:pStyle w:val="ListBullet"/>
      </w:pPr>
      <w:r w:rsidRPr="002E12D0">
        <w:t>works effectively with others to undertake and management of well servicing rig-up operations that meets all of the requi</w:t>
      </w:r>
      <w:r w:rsidRPr="002E12D0">
        <w:t>red outcomes including:</w:t>
      </w:r>
    </w:p>
    <w:p w:rsidR="00000000" w:rsidRPr="002E12D0" w:rsidP="002E12D0">
      <w:pPr>
        <w:pStyle w:val="ListBullet2"/>
      </w:pPr>
      <w:r w:rsidRPr="002E12D0">
        <w:t>complying with written and verbal reporting requirements and procedures</w:t>
      </w:r>
    </w:p>
    <w:p w:rsidR="00000000" w:rsidRPr="002E12D0" w:rsidP="002E12D0">
      <w:pPr>
        <w:pStyle w:val="ListBullet2"/>
      </w:pPr>
      <w:r w:rsidRPr="002E12D0">
        <w:t>communicating clearly and concisely with others to receive and clarify work instructions</w:t>
      </w:r>
    </w:p>
    <w:p w:rsidR="00000000" w:rsidRPr="002E12D0" w:rsidP="002E12D0">
      <w:pPr>
        <w:pStyle w:val="ListBullet2"/>
      </w:pPr>
      <w:r w:rsidRPr="002E12D0">
        <w:t>communicating clearly and concisely with others to resolve coordinatio</w:t>
      </w:r>
      <w:r w:rsidRPr="002E12D0">
        <w:t>n requirements throughout work activities</w:t>
      </w:r>
    </w:p>
    <w:p w:rsidR="00000000" w:rsidRPr="002E12D0" w:rsidP="002E12D0">
      <w:pPr>
        <w:pStyle w:val="ListBullet"/>
      </w:pPr>
      <w:r w:rsidRPr="002E12D0">
        <w:t>demonstrates completion of well servicing rig-up operations that safely, effectively and efficiently meets all of the required outcomes on more than one (1) occasion including:</w:t>
      </w:r>
    </w:p>
    <w:p w:rsidR="00000000" w:rsidRPr="002E12D0" w:rsidP="002E12D0">
      <w:pPr>
        <w:pStyle w:val="ListBullet3"/>
      </w:pPr>
      <w:r w:rsidRPr="002E12D0">
        <w:t xml:space="preserve">interpreting well servicing rig up </w:t>
      </w:r>
      <w:r w:rsidRPr="002E12D0">
        <w:t xml:space="preserve">program and communicate to team members </w:t>
      </w:r>
    </w:p>
    <w:p w:rsidR="00000000" w:rsidRPr="002E12D0" w:rsidP="002E12D0">
      <w:pPr>
        <w:pStyle w:val="ListBullet3"/>
      </w:pPr>
      <w:r w:rsidRPr="002E12D0">
        <w:t xml:space="preserve">identifying and assigning resources </w:t>
      </w:r>
    </w:p>
    <w:p w:rsidR="00000000" w:rsidRPr="002E12D0" w:rsidP="002E12D0">
      <w:pPr>
        <w:pStyle w:val="ListBullet3"/>
      </w:pPr>
      <w:r w:rsidRPr="002E12D0">
        <w:t xml:space="preserve">assessing and implementing work health and safety requirements </w:t>
      </w:r>
    </w:p>
    <w:p w:rsidR="00000000" w:rsidRPr="002E12D0" w:rsidP="002E12D0">
      <w:pPr>
        <w:pStyle w:val="ListBullet3"/>
      </w:pPr>
      <w:r w:rsidRPr="002E12D0">
        <w:t xml:space="preserve">establishing effluent disposal systems </w:t>
      </w:r>
    </w:p>
    <w:p w:rsidR="00000000" w:rsidRPr="002E12D0" w:rsidP="002E12D0">
      <w:pPr>
        <w:pStyle w:val="ListBullet3"/>
      </w:pPr>
      <w:r w:rsidRPr="002E12D0">
        <w:t xml:space="preserve">coordinating engine power start-up </w:t>
      </w:r>
    </w:p>
    <w:p w:rsidR="00000000" w:rsidRPr="002E12D0" w:rsidP="002E12D0">
      <w:pPr>
        <w:pStyle w:val="ListBullet3"/>
      </w:pPr>
      <w:r w:rsidRPr="002E12D0">
        <w:t>conducting pre-spud inspection</w:t>
      </w:r>
    </w:p>
    <w:p w:rsidR="00000000" w:rsidRPr="002E12D0" w:rsidP="002E12D0">
      <w:pPr>
        <w:pStyle w:val="AllowPageBreak"/>
      </w:pPr>
    </w:p>
    <w:p w:rsidR="00000000" w:rsidRPr="002E12D0" w:rsidP="002E12D0">
      <w:pPr>
        <w:pStyle w:val="Heading1"/>
      </w:pPr>
      <w:bookmarkStart w:id="3" w:name="O_692649"/>
      <w:bookmarkEnd w:id="3"/>
      <w:r w:rsidRPr="002E12D0">
        <w:t>Knowledge Evidence</w:t>
      </w:r>
    </w:p>
    <w:p w:rsidR="00000000" w:rsidRPr="002E12D0" w:rsidP="00E65049">
      <w:pPr>
        <w:pStyle w:val="BodyText"/>
      </w:pPr>
      <w:r w:rsidRPr="002E12D0">
        <w:t>The candidate must demonstrate knowledge of managing and monitoring rig-up operations through:</w:t>
      </w:r>
    </w:p>
    <w:p w:rsidR="00000000" w:rsidRPr="002E12D0" w:rsidP="002E12D0">
      <w:pPr>
        <w:pStyle w:val="ListBullet"/>
      </w:pPr>
      <w:r w:rsidRPr="002E12D0">
        <w:t xml:space="preserve">accessing, interpreting and applying the organisation and site requirements and procedures </w:t>
      </w:r>
    </w:p>
    <w:p w:rsidR="00000000" w:rsidRPr="002E12D0" w:rsidP="002E12D0">
      <w:pPr>
        <w:pStyle w:val="ListBullet"/>
      </w:pPr>
      <w:r w:rsidRPr="002E12D0">
        <w:t>maintaining company and statutory</w:t>
      </w:r>
      <w:r w:rsidRPr="002E12D0">
        <w:t xml:space="preserve"> safety guidelines, procedures and practices</w:t>
      </w:r>
    </w:p>
    <w:p w:rsidR="00000000" w:rsidRPr="002E12D0" w:rsidP="002E12D0">
      <w:pPr>
        <w:pStyle w:val="ListBullet"/>
      </w:pPr>
      <w:r w:rsidRPr="002E12D0">
        <w:t>establishing and maintaining safe operating procedures for operating equipment</w:t>
      </w:r>
    </w:p>
    <w:p w:rsidR="00000000" w:rsidRPr="002E12D0" w:rsidP="002E12D0">
      <w:pPr>
        <w:pStyle w:val="ListBullet"/>
      </w:pPr>
      <w:r w:rsidRPr="002E12D0">
        <w:t xml:space="preserve">establishing and maintaining rig up procedures </w:t>
      </w:r>
    </w:p>
    <w:p w:rsidR="00000000" w:rsidRPr="002E12D0" w:rsidP="002E12D0">
      <w:pPr>
        <w:pStyle w:val="ListBullet"/>
      </w:pPr>
      <w:r w:rsidRPr="002E12D0">
        <w:t xml:space="preserve">maintaining safe rigging and dogging practices </w:t>
      </w:r>
    </w:p>
    <w:p w:rsidR="00000000" w:rsidRPr="002E12D0" w:rsidP="002E12D0">
      <w:pPr>
        <w:pStyle w:val="ListBullet"/>
      </w:pPr>
      <w:r w:rsidRPr="002E12D0">
        <w:t xml:space="preserve">identifying auxiliary equipment functions and service requirements </w:t>
      </w:r>
    </w:p>
    <w:p w:rsidR="00000000" w:rsidRPr="002E12D0" w:rsidP="002E12D0">
      <w:pPr>
        <w:pStyle w:val="ListBullet"/>
      </w:pPr>
      <w:r w:rsidRPr="002E12D0">
        <w:t xml:space="preserve">knowledge and application of specific auxiliary rig up sequence </w:t>
      </w:r>
    </w:p>
    <w:p w:rsidR="00000000" w:rsidRPr="002E12D0" w:rsidP="002E12D0">
      <w:pPr>
        <w:pStyle w:val="ListBullet"/>
      </w:pPr>
      <w:r w:rsidRPr="002E12D0">
        <w:t xml:space="preserve">safety and environmental issues </w:t>
      </w:r>
    </w:p>
    <w:p w:rsidR="00000000" w:rsidRPr="002E12D0" w:rsidP="002E12D0">
      <w:pPr>
        <w:pStyle w:val="ListBullet"/>
      </w:pPr>
      <w:r w:rsidRPr="002E12D0">
        <w:t xml:space="preserve">using communication equipment </w:t>
      </w:r>
    </w:p>
    <w:p w:rsidR="00000000" w:rsidRPr="002E12D0" w:rsidP="002E12D0">
      <w:pPr>
        <w:pStyle w:val="ListBullet"/>
      </w:pPr>
      <w:r w:rsidRPr="002E12D0">
        <w:t xml:space="preserve">establishing and preparing for emergency procedures </w:t>
      </w:r>
    </w:p>
    <w:p w:rsidR="00000000" w:rsidRPr="002E12D0" w:rsidP="002E12D0">
      <w:pPr>
        <w:pStyle w:val="ListBullet"/>
      </w:pPr>
      <w:r w:rsidRPr="002E12D0">
        <w:t>establ</w:t>
      </w:r>
      <w:r w:rsidRPr="002E12D0">
        <w:t>ishing and maintaining preventative maintenance</w:t>
      </w:r>
    </w:p>
    <w:p w:rsidR="00000000" w:rsidRPr="002E12D0" w:rsidP="002E12D0">
      <w:pPr>
        <w:pStyle w:val="ListBullet"/>
      </w:pPr>
      <w:r w:rsidRPr="002E12D0">
        <w:t>adhering to workplace relations and award conditions</w:t>
      </w:r>
    </w:p>
    <w:p w:rsidR="00000000" w:rsidRPr="002E12D0" w:rsidP="002E12D0">
      <w:pPr>
        <w:pStyle w:val="AllowPageBreak"/>
      </w:pPr>
    </w:p>
    <w:p w:rsidR="00000000" w:rsidRPr="002E12D0" w:rsidP="002E12D0">
      <w:pPr>
        <w:pStyle w:val="Heading1"/>
      </w:pPr>
      <w:bookmarkStart w:id="4" w:name="O_692648"/>
      <w:bookmarkEnd w:id="4"/>
      <w:r w:rsidRPr="002E12D0">
        <w:t>Assessment Conditions</w:t>
      </w:r>
    </w:p>
    <w:p w:rsidR="00000000" w:rsidRPr="002E12D0" w:rsidP="002E12D0">
      <w:pPr>
        <w:pStyle w:val="ListBullet"/>
      </w:pPr>
      <w:r w:rsidRPr="002E12D0">
        <w:t>An assessor of this unit must satisfy the requirements of the NVR/AQTF or their successors; and Industry regulation</w:t>
      </w:r>
      <w:r w:rsidRPr="002E12D0">
        <w:t xml:space="preserve">s for certification and licensing; and, </w:t>
      </w:r>
    </w:p>
    <w:p w:rsidR="00000000" w:rsidRPr="002E12D0" w:rsidP="002E12D0">
      <w:pPr>
        <w:pStyle w:val="ListBullet"/>
      </w:pPr>
      <w:r w:rsidRPr="002E12D0">
        <w:t>this unit must be assessed in the context of this sector’s work environment; and,</w:t>
      </w:r>
    </w:p>
    <w:p w:rsidR="00000000" w:rsidRPr="002E12D0" w:rsidP="002E12D0">
      <w:pPr>
        <w:pStyle w:val="ListBullet"/>
      </w:pPr>
      <w:r w:rsidRPr="002E12D0">
        <w:t>this unit must be assessed in compliance with relevant legislation/regulation and using policies, procedures, processes and operation</w:t>
      </w:r>
      <w:r w:rsidRPr="002E12D0">
        <w:t>al manuals directly related to the industry sector for which it is being assessed; and,</w:t>
      </w:r>
    </w:p>
    <w:p w:rsidR="00000000" w:rsidRPr="002E12D0" w:rsidP="002E12D0">
      <w:pPr>
        <w:pStyle w:val="ListBullet"/>
      </w:pPr>
      <w:r w:rsidRPr="002E12D0">
        <w:t>assessment may be conducted in conjunction with the assessment of other Units of Competency; and,</w:t>
      </w:r>
    </w:p>
    <w:p w:rsidR="00000000" w:rsidRPr="002E12D0" w:rsidP="002E12D0">
      <w:pPr>
        <w:pStyle w:val="ListBullet"/>
      </w:pPr>
      <w:r w:rsidRPr="002E12D0">
        <w:t>assessment must confirm consistent performance can be applied in a ran</w:t>
      </w:r>
      <w:r w:rsidRPr="002E12D0">
        <w:t>ge of relevant workplace circumstances; and,</w:t>
      </w:r>
    </w:p>
    <w:p w:rsidR="00000000" w:rsidRPr="002E12D0" w:rsidP="002E12D0">
      <w:pPr>
        <w:pStyle w:val="ListBullet"/>
      </w:pPr>
      <w:r w:rsidRPr="002E12D0">
        <w:t>assessors must demonstrate the performance evidence, and knowledge evidence as outlined in this Unit of Competency, and through the minimum years of current* work experience specified below in an Industry sector</w:t>
      </w:r>
      <w:r w:rsidRPr="002E12D0">
        <w:t xml:space="preserve"> relevant to the outcomes of the unit; or,</w:t>
      </w:r>
    </w:p>
    <w:p w:rsidR="00000000" w:rsidRPr="002E12D0" w:rsidP="002E12D0">
      <w:pPr>
        <w:pStyle w:val="ListBullet"/>
      </w:pPr>
      <w:r w:rsidRPr="002E12D0">
        <w:t>where the assessor does not meet experience requirements a co-assessment or partnership arrangement must exist between the qualified assessor and an Industry subject matter expert. The Industry subject matter expe</w:t>
      </w:r>
      <w:r w:rsidRPr="002E12D0">
        <w:t>rt should hold the unit being assessed (or an equivalent unit) and/or demonstrate equivalence of skills and knowledge at the unit level. An Industry technical expert must also demonstrate skills and knowledge from the minimum years of current work experien</w:t>
      </w:r>
      <w:r w:rsidRPr="002E12D0">
        <w:t>ce specified below in the Industry sector, including time spent in roles related to the unit being assessed; and,</w:t>
      </w:r>
    </w:p>
    <w:p w:rsidR="00000000" w:rsidRPr="002E12D0" w:rsidP="002E12D0">
      <w:pPr>
        <w:pStyle w:val="ListBullet"/>
      </w:pPr>
      <w:r w:rsidRPr="002E12D0">
        <w:t>assessor and Industry subject matter expert requirements differ depending on the Australian Qualifications Framework Level (AQF) of the qualif</w:t>
      </w:r>
      <w:r w:rsidRPr="002E12D0">
        <w:t>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2E12D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2D0">
            <w:pPr>
              <w:pStyle w:val="Heading4"/>
              <w:rPr>
                <w:lang w:val="en-NZ"/>
              </w:rPr>
            </w:pPr>
            <w:r w:rsidRPr="002E12D0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2D0">
            <w:pPr>
              <w:pStyle w:val="Heading4"/>
              <w:rPr>
                <w:lang w:val="en-NZ"/>
              </w:rPr>
            </w:pPr>
            <w:r w:rsidRPr="002E12D0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2D0">
            <w:pPr>
              <w:pStyle w:val="Heading4"/>
              <w:rPr>
                <w:lang w:val="en-NZ"/>
              </w:rPr>
            </w:pPr>
            <w:r w:rsidRPr="002E12D0">
              <w:t>Required assessor or Industry subject matter expert experience</w:t>
            </w:r>
          </w:p>
        </w:tc>
      </w:tr>
      <w:tr w:rsidTr="002E12D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2D0">
            <w:pPr>
              <w:pStyle w:val="BodyText"/>
              <w:rPr>
                <w:lang w:val="en-NZ"/>
              </w:rPr>
            </w:pPr>
            <w:r w:rsidRPr="002E12D0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2D0">
            <w:pPr>
              <w:pStyle w:val="BodyText"/>
              <w:rPr>
                <w:lang w:val="en-NZ"/>
              </w:rPr>
            </w:pPr>
            <w:r w:rsidRPr="002E12D0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2D0">
            <w:pPr>
              <w:pStyle w:val="BodyText"/>
              <w:rPr>
                <w:lang w:val="en-NZ"/>
              </w:rPr>
            </w:pPr>
            <w:r w:rsidRPr="002E12D0">
              <w:t>1 Year</w:t>
            </w:r>
          </w:p>
        </w:tc>
      </w:tr>
      <w:tr w:rsidTr="002E12D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2D0">
            <w:pPr>
              <w:pStyle w:val="BodyText"/>
              <w:rPr>
                <w:lang w:val="en-NZ"/>
              </w:rPr>
            </w:pPr>
            <w:r w:rsidRPr="002E12D0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2D0">
            <w:pPr>
              <w:pStyle w:val="BodyText"/>
              <w:rPr>
                <w:lang w:val="en-NZ"/>
              </w:rPr>
            </w:pPr>
            <w:r w:rsidRPr="002E12D0">
              <w:t>2 Years</w:t>
            </w:r>
          </w:p>
        </w:tc>
      </w:tr>
      <w:tr w:rsidTr="002E12D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2D0">
            <w:pPr>
              <w:pStyle w:val="BodyText"/>
              <w:rPr>
                <w:lang w:val="en-NZ"/>
              </w:rPr>
            </w:pPr>
            <w:r w:rsidRPr="002E12D0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2D0">
            <w:pPr>
              <w:pStyle w:val="BodyText"/>
              <w:rPr>
                <w:lang w:val="en-NZ"/>
              </w:rPr>
            </w:pPr>
            <w:r w:rsidRPr="002E12D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2D0">
            <w:pPr>
              <w:pStyle w:val="BodyText"/>
              <w:rPr>
                <w:lang w:val="en-NZ"/>
              </w:rPr>
            </w:pPr>
            <w:r w:rsidRPr="002E12D0">
              <w:t>3 Years</w:t>
            </w:r>
          </w:p>
        </w:tc>
      </w:tr>
      <w:tr w:rsidTr="002E12D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2D0">
            <w:pPr>
              <w:pStyle w:val="BodyText"/>
              <w:rPr>
                <w:lang w:val="en-NZ"/>
              </w:rPr>
            </w:pPr>
            <w:r w:rsidRPr="002E12D0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2D0">
            <w:pPr>
              <w:pStyle w:val="BodyText"/>
              <w:rPr>
                <w:lang w:val="en-NZ"/>
              </w:rPr>
            </w:pPr>
            <w:r w:rsidRPr="002E12D0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2D0">
            <w:pPr>
              <w:pStyle w:val="BodyText"/>
              <w:rPr>
                <w:lang w:val="en-NZ"/>
              </w:rPr>
            </w:pPr>
            <w:r w:rsidRPr="002E12D0">
              <w:t>5 Years</w:t>
            </w:r>
          </w:p>
        </w:tc>
      </w:tr>
      <w:tr w:rsidTr="002E12D0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E12D0">
            <w:pPr>
              <w:pStyle w:val="BodyText"/>
              <w:rPr>
                <w:lang w:val="en-NZ"/>
              </w:rPr>
            </w:pPr>
            <w:r w:rsidRPr="002E12D0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E12D0" w:rsidP="002E12D0">
            <w:pPr>
              <w:pStyle w:val="BodyText"/>
            </w:pPr>
            <w:r w:rsidRPr="002E12D0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2E12D0">
              <w:t>ndard is specified should comply with any relevant regulation.</w:t>
            </w:r>
          </w:p>
        </w:tc>
      </w:tr>
    </w:tbl>
    <w:p w:rsidR="00000000" w:rsidRPr="002E12D0" w:rsidP="00E65049">
      <w:pPr>
        <w:pStyle w:val="BodyText"/>
      </w:pPr>
      <w:r w:rsidRPr="002E12D0">
        <w:t xml:space="preserve">*Assessors can demonstrate current work experience through employment within Industry in a role relevant to the outcomes of the Unit; or, for external </w:t>
      </w:r>
      <w:r w:rsidRPr="002E12D0">
        <w:t>assessors this can be demonstrated through exposure to Industry by conducting frequent site assessments across various locations.</w:t>
      </w:r>
    </w:p>
    <w:p w:rsidR="00000000" w:rsidRPr="002E12D0" w:rsidP="00E65049">
      <w:pPr>
        <w:pStyle w:val="BodyText"/>
      </w:pPr>
      <w:r w:rsidRPr="002E12D0">
        <w:t>**Where a unit is being delivered outside of a Qualification the first numeric character in the Unit code should be considered</w:t>
      </w:r>
      <w:r w:rsidRPr="002E12D0">
        <w:t xml:space="preserve"> to indicate the AQF level</w:t>
      </w:r>
    </w:p>
    <w:p w:rsidR="00000000" w:rsidRPr="002E12D0" w:rsidP="002E12D0">
      <w:pPr>
        <w:pStyle w:val="Heading1"/>
      </w:pPr>
      <w:bookmarkStart w:id="5" w:name="O_692663"/>
      <w:bookmarkEnd w:id="5"/>
      <w:r w:rsidRPr="002E12D0">
        <w:t>Links</w:t>
      </w:r>
    </w:p>
    <w:p w:rsidR="00000000" w:rsidRPr="002E12D0" w:rsidP="00E65049">
      <w:pPr>
        <w:pStyle w:val="BodyText"/>
      </w:pPr>
      <w:r w:rsidRPr="002E12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11B17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E12D0" w:rsidP="002E12D0"/>
    <w:sectPr w:rsidSect="002E12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2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2D0" w:rsidRPr="00E65049" w:rsidP="00E650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2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049" w:rsidP="002E12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65049" w:rsidP="002E12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65049" w:rsidP="002E12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2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0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12D0" w:rsidRPr="00E65049" w:rsidP="00E650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12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5049" w:rsidRPr="002D2AF8" w:rsidP="002E12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RIIWSV503D Manage and monitor rig-up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E65049" w:rsidP="002E12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B5A7C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521A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5434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2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12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12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12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12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12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12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12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12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12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12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12D0"/>
  </w:style>
  <w:style w:type="character" w:customStyle="1" w:styleId="Heading1Char">
    <w:name w:val="Heading 1 Char"/>
    <w:basedOn w:val="DefaultParagraphFont"/>
    <w:link w:val="Heading1"/>
    <w:rsid w:val="002E12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12D0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E12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12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12D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E12D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E12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12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E12D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E12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12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12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12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12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12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12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12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12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12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12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12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12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12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12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12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12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12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12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12D0"/>
    <w:rPr>
      <w:b/>
      <w:spacing w:val="0"/>
    </w:rPr>
  </w:style>
  <w:style w:type="paragraph" w:customStyle="1" w:styleId="SuperTitle">
    <w:name w:val="SuperTitle"/>
    <w:basedOn w:val="Title"/>
    <w:rsid w:val="002E12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12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12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E12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12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12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12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12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12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12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12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12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E12D0"/>
    <w:rPr>
      <w:i/>
    </w:rPr>
  </w:style>
  <w:style w:type="paragraph" w:styleId="Caption">
    <w:name w:val="caption"/>
    <w:basedOn w:val="BodyText"/>
    <w:next w:val="Normal"/>
    <w:qFormat/>
    <w:rsid w:val="002E12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12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12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12D0"/>
  </w:style>
  <w:style w:type="paragraph" w:styleId="TableofFigures">
    <w:name w:val="table of figures"/>
    <w:basedOn w:val="Normal"/>
    <w:next w:val="Normal"/>
    <w:semiHidden/>
    <w:rsid w:val="002E12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12D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E12D0"/>
    <w:rPr>
      <w:rFonts w:ascii="Wingdings" w:hAnsi="Wingdings"/>
    </w:rPr>
  </w:style>
  <w:style w:type="paragraph" w:customStyle="1" w:styleId="TableHeading">
    <w:name w:val="Table Heading"/>
    <w:basedOn w:val="HeadingBase"/>
    <w:rsid w:val="002E12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12D0"/>
    <w:rPr>
      <w:color w:val="0033CC"/>
      <w:u w:val="none"/>
    </w:rPr>
  </w:style>
  <w:style w:type="paragraph" w:customStyle="1" w:styleId="BodyTextRight">
    <w:name w:val="Body Text Right"/>
    <w:basedOn w:val="BodyText"/>
    <w:rsid w:val="002E12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12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12D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12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12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12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12D0"/>
    <w:rPr>
      <w:sz w:val="32"/>
    </w:rPr>
  </w:style>
  <w:style w:type="paragraph" w:customStyle="1" w:styleId="HeadingProcedure">
    <w:name w:val="Heading Procedure"/>
    <w:basedOn w:val="HeadingBase"/>
    <w:next w:val="Normal"/>
    <w:rsid w:val="002E12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12D0"/>
    <w:pPr>
      <w:spacing w:before="60" w:after="60"/>
    </w:pPr>
  </w:style>
  <w:style w:type="paragraph" w:styleId="ListContinue">
    <w:name w:val="List Continue"/>
    <w:basedOn w:val="List"/>
    <w:rsid w:val="002E12D0"/>
    <w:pPr>
      <w:ind w:firstLine="0"/>
    </w:pPr>
  </w:style>
  <w:style w:type="paragraph" w:customStyle="1" w:styleId="ListNote">
    <w:name w:val="List Note"/>
    <w:basedOn w:val="List"/>
    <w:rsid w:val="002E12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12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12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12D0"/>
    <w:rPr>
      <w:rFonts w:ascii="Courier New" w:hAnsi="Courier New"/>
    </w:rPr>
  </w:style>
  <w:style w:type="paragraph" w:customStyle="1" w:styleId="NoteBullet">
    <w:name w:val="Note Bullet"/>
    <w:basedOn w:val="Note"/>
    <w:rsid w:val="002E12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12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12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12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12D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E12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12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12D0"/>
    <w:rPr>
      <w:b/>
      <w:smallCaps/>
    </w:rPr>
  </w:style>
  <w:style w:type="paragraph" w:customStyle="1" w:styleId="TableListNumber">
    <w:name w:val="Table List Number"/>
    <w:basedOn w:val="ListNumber"/>
    <w:rsid w:val="002E12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12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12D0"/>
    <w:pPr>
      <w:numPr>
        <w:numId w:val="10"/>
      </w:numPr>
    </w:pPr>
  </w:style>
  <w:style w:type="paragraph" w:customStyle="1" w:styleId="ListAlpha2">
    <w:name w:val="List Alpha 2"/>
    <w:basedOn w:val="List2"/>
    <w:rsid w:val="002E12D0"/>
    <w:pPr>
      <w:numPr>
        <w:numId w:val="9"/>
      </w:numPr>
    </w:pPr>
  </w:style>
  <w:style w:type="paragraph" w:styleId="List2">
    <w:name w:val="List 2"/>
    <w:basedOn w:val="BodyText"/>
    <w:rsid w:val="002E12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12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12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12D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E12D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E12D0"/>
    <w:pPr>
      <w:numPr>
        <w:numId w:val="5"/>
      </w:numPr>
    </w:pPr>
  </w:style>
  <w:style w:type="paragraph" w:styleId="ListContinue2">
    <w:name w:val="List Continue 2"/>
    <w:basedOn w:val="List2"/>
    <w:rsid w:val="002E12D0"/>
    <w:pPr>
      <w:ind w:firstLine="0"/>
    </w:pPr>
  </w:style>
  <w:style w:type="paragraph" w:styleId="ListContinue3">
    <w:name w:val="List Continue 3"/>
    <w:basedOn w:val="List3"/>
    <w:rsid w:val="002E12D0"/>
    <w:pPr>
      <w:ind w:left="1021" w:firstLine="0"/>
    </w:pPr>
  </w:style>
  <w:style w:type="paragraph" w:styleId="ListContinue4">
    <w:name w:val="List Continue 4"/>
    <w:basedOn w:val="List4"/>
    <w:rsid w:val="002E12D0"/>
    <w:pPr>
      <w:ind w:firstLine="0"/>
    </w:pPr>
  </w:style>
  <w:style w:type="paragraph" w:styleId="ListContinue5">
    <w:name w:val="List Continue 5"/>
    <w:basedOn w:val="List5"/>
    <w:rsid w:val="002E12D0"/>
    <w:pPr>
      <w:ind w:firstLine="0"/>
    </w:pPr>
  </w:style>
  <w:style w:type="paragraph" w:styleId="ListNumber3">
    <w:name w:val="List Number 3"/>
    <w:basedOn w:val="List3"/>
    <w:rsid w:val="002E12D0"/>
    <w:pPr>
      <w:numPr>
        <w:numId w:val="6"/>
      </w:numPr>
    </w:pPr>
  </w:style>
  <w:style w:type="paragraph" w:styleId="ListNumber4">
    <w:name w:val="List Number 4"/>
    <w:basedOn w:val="List4"/>
    <w:rsid w:val="002E12D0"/>
    <w:pPr>
      <w:numPr>
        <w:numId w:val="7"/>
      </w:numPr>
    </w:pPr>
  </w:style>
  <w:style w:type="paragraph" w:styleId="ListNumber5">
    <w:name w:val="List Number 5"/>
    <w:basedOn w:val="List5"/>
    <w:rsid w:val="002E12D0"/>
    <w:pPr>
      <w:numPr>
        <w:numId w:val="8"/>
      </w:numPr>
    </w:pPr>
  </w:style>
  <w:style w:type="paragraph" w:styleId="BlockText">
    <w:name w:val="Block Text"/>
    <w:basedOn w:val="Normal"/>
    <w:rsid w:val="002E12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12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12D0"/>
    <w:rPr>
      <w:sz w:val="16"/>
      <w:vertAlign w:val="superscript"/>
    </w:rPr>
  </w:style>
  <w:style w:type="character" w:customStyle="1" w:styleId="Symbols">
    <w:name w:val="Symbols"/>
    <w:basedOn w:val="DefaultParagraphFont"/>
    <w:rsid w:val="002E12D0"/>
    <w:rPr>
      <w:rFonts w:ascii="Symbol" w:hAnsi="Symbol"/>
    </w:rPr>
  </w:style>
  <w:style w:type="character" w:customStyle="1" w:styleId="MenuOptions">
    <w:name w:val="Menu Options"/>
    <w:basedOn w:val="DefaultParagraphFont"/>
    <w:rsid w:val="002E12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12D0"/>
    <w:rPr>
      <w:b/>
    </w:rPr>
  </w:style>
  <w:style w:type="character" w:customStyle="1" w:styleId="Underlined">
    <w:name w:val="Underlined"/>
    <w:basedOn w:val="DefaultParagraphFont"/>
    <w:rsid w:val="002E12D0"/>
    <w:rPr>
      <w:u w:val="single"/>
    </w:rPr>
  </w:style>
  <w:style w:type="paragraph" w:customStyle="1" w:styleId="TableBodyTextRight">
    <w:name w:val="Table Body Text Right"/>
    <w:basedOn w:val="TableBodyText"/>
    <w:rsid w:val="002E12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12D0"/>
    <w:rPr>
      <w:sz w:val="18"/>
    </w:rPr>
  </w:style>
  <w:style w:type="paragraph" w:customStyle="1" w:styleId="BodySmallRight">
    <w:name w:val="Body Small Right"/>
    <w:basedOn w:val="BodyTextRight"/>
    <w:rsid w:val="002E12D0"/>
    <w:rPr>
      <w:sz w:val="18"/>
      <w:szCs w:val="18"/>
    </w:rPr>
  </w:style>
  <w:style w:type="paragraph" w:customStyle="1" w:styleId="MarginEdition">
    <w:name w:val="Margin Edition"/>
    <w:basedOn w:val="MarginNote"/>
    <w:rsid w:val="002E12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12D0"/>
    <w:rPr>
      <w:sz w:val="2"/>
      <w:szCs w:val="2"/>
    </w:rPr>
  </w:style>
  <w:style w:type="character" w:customStyle="1" w:styleId="Small">
    <w:name w:val="Small"/>
    <w:basedOn w:val="DefaultParagraphFont"/>
    <w:rsid w:val="002E12D0"/>
    <w:rPr>
      <w:sz w:val="16"/>
    </w:rPr>
  </w:style>
  <w:style w:type="paragraph" w:customStyle="1" w:styleId="WideTable">
    <w:name w:val="Wide Table"/>
    <w:basedOn w:val="Normal"/>
    <w:rsid w:val="002E12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12D0"/>
  </w:style>
  <w:style w:type="paragraph" w:styleId="Quote">
    <w:name w:val="Quote"/>
    <w:basedOn w:val="Heading1"/>
    <w:link w:val="QuoteChar"/>
    <w:qFormat/>
    <w:rsid w:val="002E12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12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12D0"/>
    <w:pPr>
      <w:pageBreakBefore/>
    </w:pPr>
  </w:style>
  <w:style w:type="paragraph" w:customStyle="1" w:styleId="Border">
    <w:name w:val="Border"/>
    <w:basedOn w:val="Normal"/>
    <w:qFormat/>
    <w:rsid w:val="002E12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12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12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12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12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12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12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12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12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12D0"/>
    <w:rPr>
      <w:u w:val="single"/>
    </w:rPr>
  </w:style>
  <w:style w:type="character" w:customStyle="1" w:styleId="BoldandItalics">
    <w:name w:val="Bold and Italics"/>
    <w:qFormat/>
    <w:rsid w:val="002E12D0"/>
    <w:rPr>
      <w:b/>
      <w:i/>
      <w:u w:val="none"/>
    </w:rPr>
  </w:style>
  <w:style w:type="paragraph" w:styleId="BalloonText">
    <w:name w:val="Balloon Text"/>
    <w:basedOn w:val="Normal"/>
    <w:link w:val="BalloonTextChar"/>
    <w:rsid w:val="002E12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12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12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12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12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12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12D0"/>
    <w:pPr>
      <w:spacing w:before="0" w:after="0"/>
    </w:pPr>
  </w:style>
  <w:style w:type="paragraph" w:customStyle="1" w:styleId="BodyTextBold">
    <w:name w:val="Body Text Bold"/>
    <w:basedOn w:val="BodyText"/>
    <w:qFormat/>
    <w:rsid w:val="002E12D0"/>
    <w:rPr>
      <w:b/>
    </w:rPr>
  </w:style>
  <w:style w:type="character" w:styleId="Hyperlink">
    <w:name w:val="Hyperlink"/>
    <w:basedOn w:val="DefaultParagraphFont"/>
    <w:uiPriority w:val="99"/>
    <w:unhideWhenUsed/>
    <w:rsid w:val="00E650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5001</Characters>
  <Application>Microsoft Office Word</Application>
  <DocSecurity>0</DocSecurity>
  <Lines>128</Lines>
  <Paragraphs>82</Paragraphs>
  <ScaleCrop>false</ScaleCrop>
  <Company>Author-it Software Corporation Ltd.</Company>
  <LinksUpToDate>false</LinksUpToDate>
  <CharactersWithSpaces>5706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RIIWSV503D Manage and monitor rig-up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2020-07-08T05:57:00Z</dcterms:created>
  <dcterms:modified xsi:type="dcterms:W3CDTF">2020-07-08T05:57:00Z</dcterms:modified>
</cp:coreProperties>
</file>