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373C9" w:rsidP="007373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RIIWSV404D Conduct fishing operations</w:t>
      </w:r>
      <w:r>
        <w:fldChar w:fldCharType="end"/>
      </w:r>
    </w:p>
    <w:p w:rsidR="007373C9" w:rsidP="007373C9">
      <w:pPr>
        <w:pStyle w:val="Version"/>
        <w:sectPr w:rsidSect="00EC00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C009E" w:rsidP="00EC009E">
      <w:pPr>
        <w:pStyle w:val="SuperHeading"/>
      </w:pPr>
      <w:r w:rsidRPr="00EC009E">
        <w:t>Assessment Requirements for RIIWSV404D Conduct fishing operations</w:t>
      </w:r>
    </w:p>
    <w:p w:rsidR="00000000" w:rsidRPr="00EC009E" w:rsidP="00EC009E">
      <w:pPr>
        <w:pStyle w:val="Heading1"/>
      </w:pPr>
      <w:bookmarkStart w:id="1" w:name="O_692574"/>
      <w:bookmarkEnd w:id="1"/>
      <w:r w:rsidRPr="00EC009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7373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9E">
            <w:pPr>
              <w:pStyle w:val="Heading4"/>
              <w:rPr>
                <w:lang w:val="en-NZ"/>
              </w:rPr>
            </w:pPr>
            <w:r w:rsidRPr="00EC009E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9E">
            <w:pPr>
              <w:pStyle w:val="Heading4"/>
              <w:rPr>
                <w:lang w:val="en-NZ"/>
              </w:rPr>
            </w:pPr>
            <w:r w:rsidRPr="00EC009E">
              <w:t>Comment</w:t>
            </w:r>
          </w:p>
        </w:tc>
      </w:tr>
      <w:tr w:rsidTr="007373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This is a new unit</w:t>
            </w:r>
          </w:p>
        </w:tc>
      </w:tr>
      <w:tr w:rsidTr="007373C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Editorial corrections</w:t>
            </w:r>
          </w:p>
        </w:tc>
      </w:tr>
      <w:tr w:rsidTr="007373C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009E" w:rsidP="00EC009E">
            <w:pPr>
              <w:pStyle w:val="BodyText"/>
            </w:pPr>
            <w:r w:rsidRPr="00EC009E">
              <w:t>Required frequency and volume of evidence amended in Performance evidence.</w:t>
            </w:r>
          </w:p>
          <w:p w:rsidR="00000000" w:rsidRPr="00EC009E" w:rsidP="00EC009E">
            <w:pPr>
              <w:pStyle w:val="BodyText"/>
            </w:pPr>
            <w:r w:rsidRPr="00EC009E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C009E" w:rsidP="00EC009E">
      <w:pPr>
        <w:pStyle w:val="BodyText"/>
      </w:pPr>
    </w:p>
    <w:p w:rsidR="00000000" w:rsidRPr="00EC009E" w:rsidP="00EC009E">
      <w:pPr>
        <w:pStyle w:val="AllowPageBreak"/>
      </w:pPr>
    </w:p>
    <w:p w:rsidR="00000000" w:rsidRPr="00EC009E" w:rsidP="00EC009E">
      <w:pPr>
        <w:pStyle w:val="Heading1"/>
      </w:pPr>
      <w:bookmarkStart w:id="2" w:name="O_692573"/>
      <w:bookmarkEnd w:id="2"/>
      <w:r w:rsidRPr="00EC009E">
        <w:t>Performance Evidence</w:t>
      </w:r>
    </w:p>
    <w:p w:rsidR="00000000" w:rsidRPr="00EC009E" w:rsidP="007373C9">
      <w:pPr>
        <w:pStyle w:val="BodyText"/>
      </w:pPr>
      <w:r w:rsidRPr="00EC009E">
        <w:t>Evidence is required to be collected that demonstrates a candidate’s competency in this unit. Evidence must be relevant to the roles within this sector’s work operations and satisfy all of the requirements of the performance criteria o</w:t>
      </w:r>
      <w:r w:rsidRPr="00EC009E">
        <w:t>f this unit and include evidence that the candidate:</w:t>
      </w:r>
    </w:p>
    <w:p w:rsidR="00000000" w:rsidRPr="00EC009E" w:rsidP="00EC009E">
      <w:pPr>
        <w:pStyle w:val="ListBullet"/>
      </w:pPr>
      <w:r w:rsidRPr="00EC009E">
        <w:t>locates and applies relevant legislation, documentation, policies and procedures</w:t>
      </w:r>
    </w:p>
    <w:p w:rsidR="00000000" w:rsidRPr="00EC009E" w:rsidP="00EC009E">
      <w:pPr>
        <w:pStyle w:val="ListBullet"/>
      </w:pPr>
      <w:r w:rsidRPr="00EC009E">
        <w:t xml:space="preserve">works effectively with others to undertake and complete well servicing fishing operations that meets all of the required </w:t>
      </w:r>
      <w:r w:rsidRPr="00EC009E">
        <w:t>outcomes including:</w:t>
      </w:r>
    </w:p>
    <w:p w:rsidR="00000000" w:rsidRPr="00EC009E" w:rsidP="00EC009E">
      <w:pPr>
        <w:pStyle w:val="ListBullet2"/>
      </w:pPr>
      <w:r w:rsidRPr="00EC009E">
        <w:t>complying with written and verbal reporting requirements and procedures</w:t>
      </w:r>
    </w:p>
    <w:p w:rsidR="00000000" w:rsidRPr="00EC009E" w:rsidP="00EC009E">
      <w:pPr>
        <w:pStyle w:val="ListBullet2"/>
      </w:pPr>
      <w:r w:rsidRPr="00EC009E">
        <w:t>communicating clearly and concisely with others to receive and clarify work instructions</w:t>
      </w:r>
    </w:p>
    <w:p w:rsidR="00000000" w:rsidRPr="00EC009E" w:rsidP="00EC009E">
      <w:pPr>
        <w:pStyle w:val="ListBullet2"/>
      </w:pPr>
      <w:r w:rsidRPr="00EC009E">
        <w:t>communicating clearly and concisely with others to resolve coordination re</w:t>
      </w:r>
      <w:r w:rsidRPr="00EC009E">
        <w:t>quirements throughout work activities</w:t>
      </w:r>
    </w:p>
    <w:p w:rsidR="00000000" w:rsidRPr="00EC009E" w:rsidP="00EC009E">
      <w:pPr>
        <w:pStyle w:val="ListBullet"/>
      </w:pPr>
      <w:r w:rsidRPr="00EC009E">
        <w:t>demonstrates completion of conducting fishing operations that safely, effectively and efficiently meets all of the required outcomes on more than one (1) occasion including:</w:t>
      </w:r>
    </w:p>
    <w:p w:rsidR="00000000" w:rsidRPr="00EC009E" w:rsidP="00EC009E">
      <w:pPr>
        <w:pStyle w:val="ListBullet2"/>
      </w:pPr>
      <w:r w:rsidRPr="00EC009E">
        <w:t>identifying and applying pumping and fluid</w:t>
      </w:r>
      <w:r w:rsidRPr="00EC009E">
        <w:t xml:space="preserve"> parameters </w:t>
      </w:r>
    </w:p>
    <w:p w:rsidR="00000000" w:rsidRPr="00EC009E" w:rsidP="00EC009E">
      <w:pPr>
        <w:pStyle w:val="ListBullet2"/>
      </w:pPr>
      <w:r w:rsidRPr="00EC009E">
        <w:t xml:space="preserve">confirming requirements to be run down hole </w:t>
      </w:r>
    </w:p>
    <w:p w:rsidR="00000000" w:rsidRPr="00EC009E" w:rsidP="00EC009E">
      <w:pPr>
        <w:pStyle w:val="ListBullet2"/>
      </w:pPr>
      <w:r w:rsidRPr="00EC009E">
        <w:t xml:space="preserve">assembling and recording fishing tool/s details </w:t>
      </w:r>
    </w:p>
    <w:p w:rsidR="00000000" w:rsidRPr="00EC009E" w:rsidP="00EC009E">
      <w:pPr>
        <w:pStyle w:val="ListBullet2"/>
      </w:pPr>
      <w:r w:rsidRPr="00EC009E">
        <w:t xml:space="preserve">setting up fishing assembly </w:t>
      </w:r>
    </w:p>
    <w:p w:rsidR="00000000" w:rsidRPr="00EC009E" w:rsidP="00EC009E">
      <w:pPr>
        <w:pStyle w:val="ListBullet2"/>
      </w:pPr>
      <w:r w:rsidRPr="00EC009E">
        <w:t xml:space="preserve">running tubing/rods to required depth </w:t>
      </w:r>
    </w:p>
    <w:p w:rsidR="00000000" w:rsidRPr="00EC009E" w:rsidP="00EC009E">
      <w:pPr>
        <w:pStyle w:val="ListBullet2"/>
      </w:pPr>
      <w:r w:rsidRPr="00EC009E">
        <w:t>latching fish and trip out of hole</w:t>
      </w:r>
    </w:p>
    <w:p w:rsidR="00000000" w:rsidRPr="00EC009E" w:rsidP="00EC009E">
      <w:pPr>
        <w:pStyle w:val="AllowPageBreak"/>
      </w:pPr>
    </w:p>
    <w:p w:rsidR="00000000" w:rsidRPr="00EC009E" w:rsidP="00EC009E">
      <w:pPr>
        <w:pStyle w:val="Heading1"/>
      </w:pPr>
      <w:bookmarkStart w:id="3" w:name="O_692572"/>
      <w:bookmarkEnd w:id="3"/>
      <w:r w:rsidRPr="00EC009E">
        <w:t>Knowledge Evidence</w:t>
      </w:r>
    </w:p>
    <w:p w:rsidR="00000000" w:rsidRPr="00EC009E" w:rsidP="007373C9">
      <w:pPr>
        <w:pStyle w:val="BodyText"/>
      </w:pPr>
      <w:r w:rsidRPr="00EC009E">
        <w:t>The candidate must demonstrate knowledge of conducting fishing operations through:</w:t>
      </w:r>
    </w:p>
    <w:p w:rsidR="00000000" w:rsidRPr="00EC009E" w:rsidP="00EC009E">
      <w:pPr>
        <w:pStyle w:val="ListBullet"/>
      </w:pPr>
      <w:r w:rsidRPr="00EC009E">
        <w:t xml:space="preserve">accessing, interpreting and applying the organisation and site requirements and procedures </w:t>
      </w:r>
    </w:p>
    <w:p w:rsidR="00000000" w:rsidRPr="00EC009E" w:rsidP="00EC009E">
      <w:pPr>
        <w:pStyle w:val="ListBullet"/>
      </w:pPr>
      <w:r w:rsidRPr="00EC009E">
        <w:t>understanding of different techniques fishing</w:t>
      </w:r>
    </w:p>
    <w:p w:rsidR="00000000" w:rsidRPr="00EC009E" w:rsidP="00EC009E">
      <w:pPr>
        <w:pStyle w:val="ListBullet"/>
      </w:pPr>
      <w:r w:rsidRPr="00EC009E">
        <w:t>pump operations</w:t>
      </w:r>
    </w:p>
    <w:p w:rsidR="00000000" w:rsidRPr="00EC009E" w:rsidP="00EC009E">
      <w:pPr>
        <w:pStyle w:val="ListBullet"/>
      </w:pPr>
      <w:r w:rsidRPr="00EC009E">
        <w:t>identifying volume</w:t>
      </w:r>
      <w:r w:rsidRPr="00EC009E">
        <w:t>s</w:t>
      </w:r>
    </w:p>
    <w:p w:rsidR="00000000" w:rsidRPr="00EC009E" w:rsidP="00EC009E">
      <w:pPr>
        <w:pStyle w:val="ListBullet"/>
      </w:pPr>
      <w:r w:rsidRPr="00EC009E">
        <w:t>circulating systems</w:t>
      </w:r>
    </w:p>
    <w:p w:rsidR="00000000" w:rsidRPr="00EC009E" w:rsidP="00EC009E">
      <w:pPr>
        <w:pStyle w:val="ListBullet"/>
      </w:pPr>
      <w:r w:rsidRPr="00EC009E">
        <w:t>convert metric to imperial and imperial to metric.</w:t>
      </w:r>
    </w:p>
    <w:p w:rsidR="00000000" w:rsidRPr="00EC009E" w:rsidP="00EC009E">
      <w:pPr>
        <w:pStyle w:val="ListBullet"/>
      </w:pPr>
      <w:r w:rsidRPr="00EC009E">
        <w:t>types of equipment being used</w:t>
      </w:r>
    </w:p>
    <w:p w:rsidR="00000000" w:rsidRPr="00EC009E" w:rsidP="00EC009E">
      <w:pPr>
        <w:pStyle w:val="ListBullet"/>
      </w:pPr>
      <w:r w:rsidRPr="00EC009E">
        <w:t xml:space="preserve">maintaining good oilfield practice </w:t>
      </w:r>
    </w:p>
    <w:p w:rsidR="00000000" w:rsidRPr="00EC009E" w:rsidP="00EC009E">
      <w:pPr>
        <w:pStyle w:val="ListBullet"/>
      </w:pPr>
      <w:r w:rsidRPr="00EC009E">
        <w:t>basic understanding of the process of fishing and the functionality of the various types of equipment used.</w:t>
      </w:r>
    </w:p>
    <w:p w:rsidR="00000000" w:rsidRPr="00EC009E" w:rsidP="00EC009E">
      <w:pPr>
        <w:pStyle w:val="ListBullet"/>
      </w:pPr>
      <w:r w:rsidRPr="00EC009E">
        <w:t>identifyi</w:t>
      </w:r>
      <w:r w:rsidRPr="00EC009E">
        <w:t>ng components of individual fishing tools.</w:t>
      </w:r>
    </w:p>
    <w:p w:rsidR="00000000" w:rsidRPr="00EC009E" w:rsidP="00EC009E">
      <w:pPr>
        <w:pStyle w:val="ListBullet"/>
      </w:pPr>
      <w:r w:rsidRPr="00EC009E">
        <w:t>determining well bore conditions</w:t>
      </w:r>
    </w:p>
    <w:p w:rsidR="00000000" w:rsidRPr="00EC009E" w:rsidP="00EC009E">
      <w:pPr>
        <w:pStyle w:val="ListBullet"/>
      </w:pPr>
      <w:r w:rsidRPr="00EC009E">
        <w:t>determining the causes of hang-ups</w:t>
      </w:r>
    </w:p>
    <w:p w:rsidR="00000000" w:rsidRPr="00EC009E" w:rsidP="00EC009E">
      <w:pPr>
        <w:pStyle w:val="ListBullet"/>
      </w:pPr>
      <w:r w:rsidRPr="00EC009E">
        <w:t>procedure for latching may include –</w:t>
      </w:r>
      <w:r w:rsidRPr="00EC009E">
        <w:t xml:space="preserve"> pick up weight String weight, slack off weight, required rotations, direction of rotations, release procedures, tripping parameters.</w:t>
      </w:r>
    </w:p>
    <w:p w:rsidR="00000000" w:rsidRPr="00EC009E" w:rsidP="00EC009E">
      <w:pPr>
        <w:pStyle w:val="ListBullet"/>
      </w:pPr>
      <w:r w:rsidRPr="00EC009E">
        <w:t>identifying hole volumes (pipe displacement, tubing volume)</w:t>
      </w:r>
    </w:p>
    <w:p w:rsidR="00000000" w:rsidRPr="00EC009E" w:rsidP="00EC009E">
      <w:pPr>
        <w:pStyle w:val="ListBullet"/>
      </w:pPr>
      <w:r w:rsidRPr="00EC009E">
        <w:t>identifying tripping speed</w:t>
      </w:r>
    </w:p>
    <w:p w:rsidR="00000000" w:rsidRPr="00EC009E" w:rsidP="00EC009E">
      <w:pPr>
        <w:pStyle w:val="ListBullet"/>
      </w:pPr>
      <w:r w:rsidRPr="00EC009E">
        <w:t>identifying over pull weights</w:t>
      </w:r>
    </w:p>
    <w:p w:rsidR="00000000" w:rsidRPr="00EC009E" w:rsidP="00EC009E">
      <w:pPr>
        <w:pStyle w:val="ListBullet"/>
      </w:pPr>
      <w:r w:rsidRPr="00EC009E">
        <w:t>ident</w:t>
      </w:r>
      <w:r w:rsidRPr="00EC009E">
        <w:t>ifying tubing/rods specifications</w:t>
      </w:r>
    </w:p>
    <w:p w:rsidR="00000000" w:rsidRPr="00EC009E" w:rsidP="00EC009E">
      <w:pPr>
        <w:pStyle w:val="AllowPageBreak"/>
      </w:pPr>
    </w:p>
    <w:p w:rsidR="00000000" w:rsidRPr="00EC009E" w:rsidP="00EC009E">
      <w:pPr>
        <w:pStyle w:val="Heading1"/>
      </w:pPr>
      <w:bookmarkStart w:id="4" w:name="O_692571"/>
      <w:bookmarkEnd w:id="4"/>
      <w:r w:rsidRPr="00EC009E">
        <w:t>Assessment Conditions</w:t>
      </w:r>
    </w:p>
    <w:p w:rsidR="00000000" w:rsidRPr="00EC009E" w:rsidP="00EC009E">
      <w:pPr>
        <w:pStyle w:val="ListBullet"/>
      </w:pPr>
      <w:r w:rsidRPr="00EC009E">
        <w:t xml:space="preserve">An assessor of this unit must satisfy the requirements of the NVR/AQTF or their successors; and Industry regulations for certification and licensing; and, </w:t>
      </w:r>
    </w:p>
    <w:p w:rsidR="00000000" w:rsidRPr="00EC009E" w:rsidP="00EC009E">
      <w:pPr>
        <w:pStyle w:val="ListBullet"/>
      </w:pPr>
      <w:r w:rsidRPr="00EC009E">
        <w:t>this unit is best assessed</w:t>
      </w:r>
      <w:r w:rsidRPr="00EC009E">
        <w:t xml:space="preserve"> in the context of this sector’s work environment;</w:t>
      </w:r>
    </w:p>
    <w:p w:rsidR="00000000" w:rsidRPr="00EC009E" w:rsidP="00EC009E">
      <w:pPr>
        <w:pStyle w:val="ListBullet"/>
      </w:pPr>
      <w:r w:rsidRPr="00EC009E">
        <w:t xml:space="preserve">where personal safety or environmental damage are limiting factors, assessment may occur in a simulated environment provided it is realistic and sufficiently rigorous to cover all aspects of this sector’s </w:t>
      </w:r>
      <w:r w:rsidRPr="00EC009E">
        <w:t>workplace performance, including environment, task skills, task management skills, contingency management skills and job role environment skills; and,</w:t>
      </w:r>
    </w:p>
    <w:p w:rsidR="00000000" w:rsidRPr="00EC009E" w:rsidP="00EC009E">
      <w:pPr>
        <w:pStyle w:val="ListBullet"/>
      </w:pPr>
      <w:r w:rsidRPr="00EC009E">
        <w:t>this unit must be assessed in compliance with relevant legislation/regulation and using policies, procedu</w:t>
      </w:r>
      <w:r w:rsidRPr="00EC009E">
        <w:t>res, processes and operational manuals directly related to the industry sector for which it is being assessed; and,</w:t>
      </w:r>
    </w:p>
    <w:p w:rsidR="00000000" w:rsidRPr="00EC009E" w:rsidP="00EC009E">
      <w:pPr>
        <w:pStyle w:val="ListBullet"/>
      </w:pPr>
      <w:r w:rsidRPr="00EC009E">
        <w:t>assessment may be conducted in conjunction with the assessment of other Units of Competency; and,</w:t>
      </w:r>
    </w:p>
    <w:p w:rsidR="00000000" w:rsidRPr="00EC009E" w:rsidP="00EC009E">
      <w:pPr>
        <w:pStyle w:val="ListBullet"/>
      </w:pPr>
      <w:r w:rsidRPr="00EC009E">
        <w:t>assessment must confirm consistent perform</w:t>
      </w:r>
      <w:r w:rsidRPr="00EC009E">
        <w:t>ance can be applied in a range of relevant workplace circumstances; and,</w:t>
      </w:r>
    </w:p>
    <w:p w:rsidR="00000000" w:rsidRPr="00EC009E" w:rsidP="00EC009E">
      <w:pPr>
        <w:pStyle w:val="ListBullet"/>
      </w:pPr>
      <w:r w:rsidRPr="00EC009E">
        <w:t>assessors must demonstrate the performance evidence, and knowledge evidence as outlined in this Unit of Competency, and through the minimum years of current* work experience specified</w:t>
      </w:r>
      <w:r w:rsidRPr="00EC009E">
        <w:t xml:space="preserve"> below in an Industry sector relevant to the outcomes of the unit; or,</w:t>
      </w:r>
    </w:p>
    <w:p w:rsidR="00000000" w:rsidRPr="00EC009E" w:rsidP="00EC009E">
      <w:pPr>
        <w:pStyle w:val="ListBullet"/>
      </w:pPr>
      <w:r w:rsidRPr="00EC009E">
        <w:t xml:space="preserve">where the assessor does not meet experience requirements a co-assessment or partnership arrangement must exist between the qualified assessor and an Industry subject matter expert. The </w:t>
      </w:r>
      <w:r w:rsidRPr="00EC009E">
        <w:t>Industry subject matter expert should hold the unit being assessed (or an equivalent unit) and/or demonstrate equivalence of skills and knowledge at the unit level. An Industry technical expert must also demonstrate skills and knowledge from the minimum ye</w:t>
      </w:r>
      <w:r w:rsidRPr="00EC009E">
        <w:t>ars of current work experience specified below in the Industry sector, including time spent in roles related to the unit being assessed; and,</w:t>
      </w:r>
    </w:p>
    <w:p w:rsidR="00000000" w:rsidRPr="00EC009E" w:rsidP="00EC009E">
      <w:pPr>
        <w:pStyle w:val="ListBullet"/>
      </w:pPr>
      <w:r w:rsidRPr="00EC009E">
        <w:t>assessor and Industry subject matter expert requirements differ depending on the Australian Qualifications Framewo</w:t>
      </w:r>
      <w:r w:rsidRPr="00EC009E">
        <w:t>rk Level (AQF) of the qualification being assessed and/or Industry Sector as follows:</w:t>
      </w:r>
    </w:p>
    <w:tbl>
      <w:tblPr>
        <w:tblW w:w="8896" w:type="dxa"/>
        <w:tblInd w:w="36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218"/>
        <w:gridCol w:w="1559"/>
        <w:gridCol w:w="3119"/>
      </w:tblGrid>
      <w:tr w:rsidTr="00EC009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Heading4"/>
              <w:rPr>
                <w:lang w:val="en-NZ"/>
              </w:rPr>
            </w:pPr>
            <w:r w:rsidRPr="00EC009E">
              <w:t>Industry sector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Heading4"/>
              <w:rPr>
                <w:lang w:val="en-NZ"/>
              </w:rPr>
            </w:pPr>
            <w:r w:rsidRPr="00EC009E">
              <w:t>AQF** Level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Heading4"/>
              <w:rPr>
                <w:lang w:val="en-NZ"/>
              </w:rPr>
            </w:pPr>
            <w:r w:rsidRPr="00EC009E">
              <w:t>Required assessor or Industry subject matter expert experience</w:t>
            </w:r>
          </w:p>
        </w:tc>
      </w:tr>
      <w:tr w:rsidTr="00EC009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Drilling, Metalliferous Mining, Coal Mining, Extractive</w:t>
            </w:r>
            <w:r w:rsidRPr="00EC009E">
              <w:t xml:space="preserve"> (Quarrying)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1 Year</w:t>
            </w:r>
          </w:p>
        </w:tc>
      </w:tr>
      <w:tr w:rsidTr="00EC009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2 Years</w:t>
            </w:r>
          </w:p>
        </w:tc>
      </w:tr>
      <w:tr w:rsidTr="00EC009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 xml:space="preserve">Drilling, Coal Mining and Extractive (Quarrying)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3 Years</w:t>
            </w:r>
          </w:p>
        </w:tc>
      </w:tr>
      <w:tr w:rsidTr="00EC009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Metalliferous Mining and Civil Construction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3-6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5 Years</w:t>
            </w:r>
          </w:p>
        </w:tc>
      </w:tr>
      <w:tr w:rsidTr="00EC009E">
        <w:tblPrEx>
          <w:tblW w:w="8896" w:type="dxa"/>
          <w:tblInd w:w="36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EC009E">
            <w:pPr>
              <w:pStyle w:val="BodyText"/>
              <w:rPr>
                <w:lang w:val="en-NZ"/>
              </w:rPr>
            </w:pPr>
            <w:r w:rsidRPr="00EC009E">
              <w:t>Other sectors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EC009E" w:rsidP="00EC009E">
            <w:pPr>
              <w:pStyle w:val="BodyText"/>
            </w:pPr>
            <w:r w:rsidRPr="00EC009E">
              <w:t>Wh</w:t>
            </w:r>
            <w:r w:rsidRPr="00EC009E">
              <w:t>ere this Unit is being assessed outside of the Resources and Infrastructure Sectors assessor and/or Industry subject matter expert experience should be in-line with industry standards for the sector in which it is being assessed and where no Industry stand</w:t>
            </w:r>
            <w:r w:rsidRPr="00EC009E">
              <w:t>ard is specified should comply with any relevant regulation.</w:t>
            </w:r>
          </w:p>
        </w:tc>
      </w:tr>
    </w:tbl>
    <w:p w:rsidR="00000000" w:rsidRPr="00EC009E" w:rsidP="007373C9">
      <w:pPr>
        <w:pStyle w:val="BodyText"/>
      </w:pPr>
      <w:r w:rsidRPr="00EC009E">
        <w:t xml:space="preserve">*Assessors can demonstrate current work experience through employment within Industry in a role relevant to the outcomes of the Unit; or, for external </w:t>
      </w:r>
      <w:r w:rsidRPr="00EC009E">
        <w:t>assessors this can be demonstrated through exposure to Industry by conducting frequent site assessments across various locations.</w:t>
      </w:r>
    </w:p>
    <w:p w:rsidR="00000000" w:rsidRPr="00EC009E" w:rsidP="007373C9">
      <w:pPr>
        <w:pStyle w:val="BodyText"/>
      </w:pPr>
      <w:r w:rsidRPr="00EC009E">
        <w:t>**Where a unit is being delivered outside of a Qualification the first numeric character in the Unit code should be considered</w:t>
      </w:r>
      <w:r w:rsidRPr="00EC009E">
        <w:t xml:space="preserve"> to indicate the AQF level</w:t>
      </w:r>
    </w:p>
    <w:p w:rsidR="00000000" w:rsidRPr="00EC009E" w:rsidP="00EC009E">
      <w:pPr>
        <w:pStyle w:val="Heading1"/>
      </w:pPr>
      <w:bookmarkStart w:id="5" w:name="O_692583"/>
      <w:bookmarkEnd w:id="5"/>
      <w:r w:rsidRPr="00EC009E">
        <w:t>Links</w:t>
      </w:r>
    </w:p>
    <w:p w:rsidR="00000000" w:rsidRPr="00EC009E" w:rsidP="007373C9">
      <w:pPr>
        <w:pStyle w:val="BodyText"/>
      </w:pPr>
      <w:r w:rsidRPr="00EC00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10661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C009E" w:rsidP="00EC009E"/>
    <w:sectPr w:rsidSect="00EC009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9E" w:rsidRPr="007373C9" w:rsidP="007373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3C9" w:rsidP="00EC00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373C9" w:rsidP="00EC00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373C9" w:rsidP="00EC00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3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09E" w:rsidRPr="007373C9" w:rsidP="007373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0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73C9" w:rsidRPr="002D2AF8" w:rsidP="00EC00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RIIWSV404D Conduct fishing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373C9" w:rsidP="00EC00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6294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5AC24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99459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0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0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0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0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0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0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0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0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0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0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0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09E"/>
  </w:style>
  <w:style w:type="character" w:customStyle="1" w:styleId="Heading1Char">
    <w:name w:val="Heading 1 Char"/>
    <w:basedOn w:val="DefaultParagraphFont"/>
    <w:link w:val="Heading1"/>
    <w:rsid w:val="00EC00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09E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C00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0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09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09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0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0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0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0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0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0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0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0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0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0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0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0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0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0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0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0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0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0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0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09E"/>
    <w:rPr>
      <w:b/>
      <w:spacing w:val="0"/>
    </w:rPr>
  </w:style>
  <w:style w:type="paragraph" w:customStyle="1" w:styleId="SuperTitle">
    <w:name w:val="SuperTitle"/>
    <w:basedOn w:val="Title"/>
    <w:rsid w:val="00EC00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0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0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0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0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0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0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0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0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0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0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09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09E"/>
    <w:rPr>
      <w:i/>
    </w:rPr>
  </w:style>
  <w:style w:type="paragraph" w:styleId="Caption">
    <w:name w:val="caption"/>
    <w:basedOn w:val="BodyText"/>
    <w:next w:val="Normal"/>
    <w:qFormat/>
    <w:rsid w:val="00EC00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0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0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09E"/>
  </w:style>
  <w:style w:type="paragraph" w:styleId="TableofFigures">
    <w:name w:val="table of figures"/>
    <w:basedOn w:val="Normal"/>
    <w:next w:val="Normal"/>
    <w:semiHidden/>
    <w:rsid w:val="00EC00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09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09E"/>
    <w:rPr>
      <w:rFonts w:ascii="Wingdings" w:hAnsi="Wingdings"/>
    </w:rPr>
  </w:style>
  <w:style w:type="paragraph" w:customStyle="1" w:styleId="TableHeading">
    <w:name w:val="Table Heading"/>
    <w:basedOn w:val="HeadingBase"/>
    <w:rsid w:val="00EC00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09E"/>
    <w:rPr>
      <w:color w:val="0033CC"/>
      <w:u w:val="none"/>
    </w:rPr>
  </w:style>
  <w:style w:type="paragraph" w:customStyle="1" w:styleId="BodyTextRight">
    <w:name w:val="Body Text Right"/>
    <w:basedOn w:val="BodyText"/>
    <w:rsid w:val="00EC00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0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09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0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0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0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09E"/>
    <w:rPr>
      <w:sz w:val="32"/>
    </w:rPr>
  </w:style>
  <w:style w:type="paragraph" w:customStyle="1" w:styleId="HeadingProcedure">
    <w:name w:val="Heading Procedure"/>
    <w:basedOn w:val="HeadingBase"/>
    <w:next w:val="Normal"/>
    <w:rsid w:val="00EC00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09E"/>
    <w:pPr>
      <w:spacing w:before="60" w:after="60"/>
    </w:pPr>
  </w:style>
  <w:style w:type="paragraph" w:styleId="ListContinue">
    <w:name w:val="List Continue"/>
    <w:basedOn w:val="List"/>
    <w:rsid w:val="00EC009E"/>
    <w:pPr>
      <w:ind w:firstLine="0"/>
    </w:pPr>
  </w:style>
  <w:style w:type="paragraph" w:customStyle="1" w:styleId="ListNote">
    <w:name w:val="List Note"/>
    <w:basedOn w:val="List"/>
    <w:rsid w:val="00EC00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0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0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09E"/>
    <w:rPr>
      <w:rFonts w:ascii="Courier New" w:hAnsi="Courier New"/>
    </w:rPr>
  </w:style>
  <w:style w:type="paragraph" w:customStyle="1" w:styleId="NoteBullet">
    <w:name w:val="Note Bullet"/>
    <w:basedOn w:val="Note"/>
    <w:rsid w:val="00EC00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0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0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0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09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0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0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09E"/>
    <w:rPr>
      <w:b/>
      <w:smallCaps/>
    </w:rPr>
  </w:style>
  <w:style w:type="paragraph" w:customStyle="1" w:styleId="TableListNumber">
    <w:name w:val="Table List Number"/>
    <w:basedOn w:val="ListNumber"/>
    <w:rsid w:val="00EC00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0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09E"/>
    <w:pPr>
      <w:numPr>
        <w:numId w:val="9"/>
      </w:numPr>
    </w:pPr>
  </w:style>
  <w:style w:type="paragraph" w:customStyle="1" w:styleId="ListAlpha2">
    <w:name w:val="List Alpha 2"/>
    <w:basedOn w:val="List2"/>
    <w:rsid w:val="00EC009E"/>
    <w:pPr>
      <w:numPr>
        <w:numId w:val="8"/>
      </w:numPr>
    </w:pPr>
  </w:style>
  <w:style w:type="paragraph" w:styleId="List2">
    <w:name w:val="List 2"/>
    <w:basedOn w:val="BodyText"/>
    <w:rsid w:val="00EC00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0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0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0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09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09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09E"/>
    <w:pPr>
      <w:numPr>
        <w:numId w:val="4"/>
      </w:numPr>
    </w:pPr>
  </w:style>
  <w:style w:type="paragraph" w:styleId="ListContinue2">
    <w:name w:val="List Continue 2"/>
    <w:basedOn w:val="List2"/>
    <w:rsid w:val="00EC009E"/>
    <w:pPr>
      <w:ind w:firstLine="0"/>
    </w:pPr>
  </w:style>
  <w:style w:type="paragraph" w:styleId="ListContinue3">
    <w:name w:val="List Continue 3"/>
    <w:basedOn w:val="List3"/>
    <w:rsid w:val="00EC009E"/>
    <w:pPr>
      <w:ind w:left="1021" w:firstLine="0"/>
    </w:pPr>
  </w:style>
  <w:style w:type="paragraph" w:styleId="ListContinue4">
    <w:name w:val="List Continue 4"/>
    <w:basedOn w:val="List4"/>
    <w:rsid w:val="00EC009E"/>
    <w:pPr>
      <w:ind w:firstLine="0"/>
    </w:pPr>
  </w:style>
  <w:style w:type="paragraph" w:styleId="ListContinue5">
    <w:name w:val="List Continue 5"/>
    <w:basedOn w:val="List5"/>
    <w:rsid w:val="00EC009E"/>
    <w:pPr>
      <w:ind w:firstLine="0"/>
    </w:pPr>
  </w:style>
  <w:style w:type="paragraph" w:styleId="ListNumber3">
    <w:name w:val="List Number 3"/>
    <w:basedOn w:val="List3"/>
    <w:rsid w:val="00EC009E"/>
    <w:pPr>
      <w:numPr>
        <w:numId w:val="5"/>
      </w:numPr>
    </w:pPr>
  </w:style>
  <w:style w:type="paragraph" w:styleId="ListNumber4">
    <w:name w:val="List Number 4"/>
    <w:basedOn w:val="List4"/>
    <w:rsid w:val="00EC009E"/>
    <w:pPr>
      <w:numPr>
        <w:numId w:val="6"/>
      </w:numPr>
    </w:pPr>
  </w:style>
  <w:style w:type="paragraph" w:styleId="ListNumber5">
    <w:name w:val="List Number 5"/>
    <w:basedOn w:val="List5"/>
    <w:rsid w:val="00EC009E"/>
    <w:pPr>
      <w:numPr>
        <w:numId w:val="7"/>
      </w:numPr>
    </w:pPr>
  </w:style>
  <w:style w:type="paragraph" w:styleId="BlockText">
    <w:name w:val="Block Text"/>
    <w:basedOn w:val="Normal"/>
    <w:rsid w:val="00EC00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0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09E"/>
    <w:rPr>
      <w:sz w:val="16"/>
      <w:vertAlign w:val="superscript"/>
    </w:rPr>
  </w:style>
  <w:style w:type="character" w:customStyle="1" w:styleId="Symbols">
    <w:name w:val="Symbols"/>
    <w:basedOn w:val="DefaultParagraphFont"/>
    <w:rsid w:val="00EC009E"/>
    <w:rPr>
      <w:rFonts w:ascii="Symbol" w:hAnsi="Symbol"/>
    </w:rPr>
  </w:style>
  <w:style w:type="character" w:customStyle="1" w:styleId="MenuOptions">
    <w:name w:val="Menu Options"/>
    <w:basedOn w:val="DefaultParagraphFont"/>
    <w:rsid w:val="00EC00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09E"/>
    <w:rPr>
      <w:b/>
    </w:rPr>
  </w:style>
  <w:style w:type="character" w:customStyle="1" w:styleId="Underlined">
    <w:name w:val="Underlined"/>
    <w:basedOn w:val="DefaultParagraphFont"/>
    <w:rsid w:val="00EC009E"/>
    <w:rPr>
      <w:u w:val="single"/>
    </w:rPr>
  </w:style>
  <w:style w:type="paragraph" w:customStyle="1" w:styleId="TableBodyTextRight">
    <w:name w:val="Table Body Text Right"/>
    <w:basedOn w:val="TableBodyText"/>
    <w:rsid w:val="00EC00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09E"/>
    <w:rPr>
      <w:sz w:val="18"/>
    </w:rPr>
  </w:style>
  <w:style w:type="paragraph" w:customStyle="1" w:styleId="BodySmallRight">
    <w:name w:val="Body Small Right"/>
    <w:basedOn w:val="BodyTextRight"/>
    <w:rsid w:val="00EC009E"/>
    <w:rPr>
      <w:sz w:val="18"/>
      <w:szCs w:val="18"/>
    </w:rPr>
  </w:style>
  <w:style w:type="paragraph" w:customStyle="1" w:styleId="MarginEdition">
    <w:name w:val="Margin Edition"/>
    <w:basedOn w:val="MarginNote"/>
    <w:rsid w:val="00EC00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09E"/>
    <w:rPr>
      <w:sz w:val="2"/>
      <w:szCs w:val="2"/>
    </w:rPr>
  </w:style>
  <w:style w:type="character" w:customStyle="1" w:styleId="Small">
    <w:name w:val="Small"/>
    <w:basedOn w:val="DefaultParagraphFont"/>
    <w:rsid w:val="00EC009E"/>
    <w:rPr>
      <w:sz w:val="16"/>
    </w:rPr>
  </w:style>
  <w:style w:type="paragraph" w:customStyle="1" w:styleId="WideTable">
    <w:name w:val="Wide Table"/>
    <w:basedOn w:val="Normal"/>
    <w:rsid w:val="00EC00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09E"/>
  </w:style>
  <w:style w:type="paragraph" w:styleId="Quote">
    <w:name w:val="Quote"/>
    <w:basedOn w:val="Heading1"/>
    <w:link w:val="QuoteChar"/>
    <w:qFormat/>
    <w:rsid w:val="00EC00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0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09E"/>
    <w:pPr>
      <w:pageBreakBefore/>
    </w:pPr>
  </w:style>
  <w:style w:type="paragraph" w:customStyle="1" w:styleId="Border">
    <w:name w:val="Border"/>
    <w:basedOn w:val="Normal"/>
    <w:qFormat/>
    <w:rsid w:val="00EC00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0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0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0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0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0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0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0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0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09E"/>
    <w:rPr>
      <w:u w:val="single"/>
    </w:rPr>
  </w:style>
  <w:style w:type="character" w:customStyle="1" w:styleId="BoldandItalics">
    <w:name w:val="Bold and Italics"/>
    <w:qFormat/>
    <w:rsid w:val="00EC009E"/>
    <w:rPr>
      <w:b/>
      <w:i/>
      <w:u w:val="none"/>
    </w:rPr>
  </w:style>
  <w:style w:type="paragraph" w:styleId="BalloonText">
    <w:name w:val="Balloon Text"/>
    <w:basedOn w:val="Normal"/>
    <w:link w:val="BalloonTextChar"/>
    <w:rsid w:val="00EC00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0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0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0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0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0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09E"/>
    <w:pPr>
      <w:spacing w:before="0" w:after="0"/>
    </w:pPr>
  </w:style>
  <w:style w:type="paragraph" w:customStyle="1" w:styleId="BodyTextBold">
    <w:name w:val="Body Text Bold"/>
    <w:basedOn w:val="BodyText"/>
    <w:qFormat/>
    <w:rsid w:val="00EC009E"/>
    <w:rPr>
      <w:b/>
    </w:rPr>
  </w:style>
  <w:style w:type="character" w:styleId="Hyperlink">
    <w:name w:val="Hyperlink"/>
    <w:basedOn w:val="DefaultParagraphFont"/>
    <w:uiPriority w:val="99"/>
    <w:unhideWhenUsed/>
    <w:rsid w:val="007373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854</Words>
  <Characters>5377</Characters>
  <Application>Microsoft Office Word</Application>
  <DocSecurity>0</DocSecurity>
  <Lines>137</Lines>
  <Paragraphs>90</Paragraphs>
  <ScaleCrop>false</ScaleCrop>
  <Company>Author-it Software Corporation Ltd.</Company>
  <LinksUpToDate>false</LinksUpToDate>
  <CharactersWithSpaces>6141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RIIWSV404D Conduct fishing operations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2022-10-18T14:16:00Z</dcterms:created>
  <dcterms:modified xsi:type="dcterms:W3CDTF">2022-10-18T14:16:00Z</dcterms:modified>
</cp:coreProperties>
</file>