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FD9" w:rsidP="00801F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RIIWSV401D Rig up and rig down for well servicing</w:t>
      </w:r>
      <w:r>
        <w:fldChar w:fldCharType="end"/>
      </w:r>
    </w:p>
    <w:p w:rsidR="00801FD9" w:rsidP="00801FD9">
      <w:pPr>
        <w:pStyle w:val="Version"/>
        <w:sectPr w:rsidSect="003E27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E27AB" w:rsidP="003E27AB">
      <w:pPr>
        <w:pStyle w:val="SuperHeading"/>
      </w:pPr>
      <w:r w:rsidRPr="003E27AB">
        <w:t>Assessment Requirements for RIIWSV401D Rig up and rig down for well servicing</w:t>
      </w:r>
    </w:p>
    <w:p w:rsidR="00000000" w:rsidRPr="003E27AB" w:rsidP="003E27AB">
      <w:pPr>
        <w:pStyle w:val="Heading1"/>
      </w:pPr>
      <w:bookmarkStart w:id="1" w:name="O_692510"/>
      <w:bookmarkEnd w:id="1"/>
      <w:r w:rsidRPr="003E27A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01F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7AB">
            <w:pPr>
              <w:pStyle w:val="Heading4"/>
              <w:rPr>
                <w:lang w:val="en-NZ"/>
              </w:rPr>
            </w:pPr>
            <w:r w:rsidRPr="003E27A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7AB">
            <w:pPr>
              <w:pStyle w:val="Heading4"/>
              <w:rPr>
                <w:lang w:val="en-NZ"/>
              </w:rPr>
            </w:pPr>
            <w:r w:rsidRPr="003E27AB">
              <w:t>Comment</w:t>
            </w:r>
          </w:p>
        </w:tc>
      </w:tr>
      <w:tr w:rsidTr="00801F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This is a new unit</w:t>
            </w:r>
          </w:p>
        </w:tc>
      </w:tr>
      <w:tr w:rsidTr="00801F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Editorial corrections</w:t>
            </w:r>
          </w:p>
        </w:tc>
      </w:tr>
      <w:tr w:rsidTr="00801F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7AB" w:rsidP="003E27AB">
            <w:pPr>
              <w:pStyle w:val="BodyText"/>
            </w:pPr>
            <w:r w:rsidRPr="003E27AB">
              <w:t>Required frequency and volume of evidence amended in Performance evidence.</w:t>
            </w:r>
          </w:p>
          <w:p w:rsidR="00000000" w:rsidRPr="003E27AB" w:rsidP="003E27AB">
            <w:pPr>
              <w:pStyle w:val="BodyText"/>
            </w:pPr>
            <w:r w:rsidRPr="003E27A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E27AB" w:rsidP="003E27AB">
      <w:pPr>
        <w:pStyle w:val="BodyText"/>
      </w:pPr>
    </w:p>
    <w:p w:rsidR="00000000" w:rsidRPr="003E27AB" w:rsidP="003E27AB">
      <w:pPr>
        <w:pStyle w:val="AllowPageBreak"/>
      </w:pPr>
    </w:p>
    <w:p w:rsidR="00000000" w:rsidRPr="003E27AB" w:rsidP="003E27AB">
      <w:pPr>
        <w:pStyle w:val="Heading1"/>
      </w:pPr>
      <w:bookmarkStart w:id="2" w:name="O_692509"/>
      <w:bookmarkEnd w:id="2"/>
      <w:r w:rsidRPr="003E27AB">
        <w:t>Performance Evidence</w:t>
      </w:r>
    </w:p>
    <w:p w:rsidR="00000000" w:rsidRPr="003E27AB" w:rsidP="00801FD9">
      <w:pPr>
        <w:pStyle w:val="BodyText"/>
      </w:pPr>
      <w:r w:rsidRPr="003E27AB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3E27AB">
        <w:t>f this unit and include evidence that the candidate:</w:t>
      </w:r>
    </w:p>
    <w:p w:rsidR="00000000" w:rsidRPr="003E27AB" w:rsidP="003E27AB">
      <w:pPr>
        <w:pStyle w:val="ListBullet"/>
      </w:pPr>
      <w:r w:rsidRPr="003E27AB">
        <w:t>locates and applies relevant legislation, documentation, policies and procedures</w:t>
      </w:r>
    </w:p>
    <w:p w:rsidR="00000000" w:rsidRPr="003E27AB" w:rsidP="003E27AB">
      <w:pPr>
        <w:pStyle w:val="ListBullet"/>
      </w:pPr>
      <w:r w:rsidRPr="003E27AB">
        <w:t>works effectively with others to undertake and complete preparation for rig up and rig down for well servicing operations</w:t>
      </w:r>
      <w:r w:rsidRPr="003E27AB">
        <w:t xml:space="preserve"> that meets all of the required outcomes including:</w:t>
      </w:r>
    </w:p>
    <w:p w:rsidR="00000000" w:rsidRPr="003E27AB" w:rsidP="003E27AB">
      <w:pPr>
        <w:pStyle w:val="ListBullet2"/>
      </w:pPr>
      <w:r w:rsidRPr="003E27AB">
        <w:t>complying with written and verbal reporting requirements and procedures</w:t>
      </w:r>
    </w:p>
    <w:p w:rsidR="00000000" w:rsidRPr="003E27AB" w:rsidP="003E27AB">
      <w:pPr>
        <w:pStyle w:val="ListBullet2"/>
      </w:pPr>
      <w:r w:rsidRPr="003E27AB">
        <w:t>communicating clearly and concisely with others to receive and clarify work instructions</w:t>
      </w:r>
    </w:p>
    <w:p w:rsidR="00000000" w:rsidRPr="003E27AB" w:rsidP="003E27AB">
      <w:pPr>
        <w:pStyle w:val="ListBullet2"/>
      </w:pPr>
      <w:r w:rsidRPr="003E27AB">
        <w:t>communicating clearly and concisely with o</w:t>
      </w:r>
      <w:r w:rsidRPr="003E27AB">
        <w:t>thers to resolve coordination requirements throughout work activities</w:t>
      </w:r>
    </w:p>
    <w:p w:rsidR="00000000" w:rsidRPr="003E27AB" w:rsidP="003E27AB">
      <w:pPr>
        <w:pStyle w:val="ListBullet"/>
      </w:pPr>
      <w:r w:rsidRPr="003E27AB">
        <w:t>demonstrates completion of rigging up and rigging down for well servicing that safely, effectively and efficiently meets all of the required outcomes on more than one (1) occasion inclu</w:t>
      </w:r>
      <w:r w:rsidRPr="003E27AB">
        <w:t>ding:</w:t>
      </w:r>
    </w:p>
    <w:p w:rsidR="00000000" w:rsidRPr="003E27AB" w:rsidP="003E27AB">
      <w:pPr>
        <w:pStyle w:val="ListBullet2"/>
      </w:pPr>
      <w:r w:rsidRPr="003E27AB">
        <w:t xml:space="preserve">carrying out gas testing, rig-up and rig-down procedures </w:t>
      </w:r>
    </w:p>
    <w:p w:rsidR="00000000" w:rsidRPr="003E27AB" w:rsidP="003E27AB">
      <w:pPr>
        <w:pStyle w:val="ListBullet2"/>
      </w:pPr>
      <w:r w:rsidRPr="003E27AB">
        <w:t xml:space="preserve">monitoring and confirming well bore stability </w:t>
      </w:r>
    </w:p>
    <w:p w:rsidR="00000000" w:rsidRPr="003E27AB" w:rsidP="003E27AB">
      <w:pPr>
        <w:pStyle w:val="ListBullet2"/>
      </w:pPr>
      <w:r w:rsidRPr="003E27AB">
        <w:t xml:space="preserve">coordinating load movements </w:t>
      </w:r>
    </w:p>
    <w:p w:rsidR="00000000" w:rsidRPr="003E27AB" w:rsidP="003E27AB">
      <w:pPr>
        <w:pStyle w:val="ListBullet2"/>
      </w:pPr>
      <w:r w:rsidRPr="003E27AB">
        <w:t xml:space="preserve">conducting inspections on equipment, report faults and implement corrective actions </w:t>
      </w:r>
    </w:p>
    <w:p w:rsidR="00000000" w:rsidRPr="003E27AB" w:rsidP="003E27AB">
      <w:pPr>
        <w:pStyle w:val="ListBullet2"/>
      </w:pPr>
      <w:r w:rsidRPr="003E27AB">
        <w:t>loading, inspecting and record</w:t>
      </w:r>
      <w:r w:rsidRPr="003E27AB">
        <w:t xml:space="preserve">ing pipe racks with tubulars </w:t>
      </w:r>
    </w:p>
    <w:p w:rsidR="00000000" w:rsidRPr="003E27AB" w:rsidP="003E27AB">
      <w:pPr>
        <w:pStyle w:val="ListBullet2"/>
      </w:pPr>
      <w:r w:rsidRPr="003E27AB">
        <w:t xml:space="preserve">identifying circulating and penetration rates </w:t>
      </w:r>
    </w:p>
    <w:p w:rsidR="00000000" w:rsidRPr="003E27AB" w:rsidP="003E27AB">
      <w:pPr>
        <w:pStyle w:val="ListBullet2"/>
      </w:pPr>
      <w:r w:rsidRPr="003E27AB">
        <w:t xml:space="preserve">operating relevant plant and equipment </w:t>
      </w:r>
    </w:p>
    <w:p w:rsidR="00000000" w:rsidRPr="003E27AB" w:rsidP="003E27AB">
      <w:pPr>
        <w:pStyle w:val="ListBullet2"/>
      </w:pPr>
      <w:r w:rsidRPr="003E27AB">
        <w:t xml:space="preserve">processing written records and reports </w:t>
      </w:r>
    </w:p>
    <w:p w:rsidR="00000000" w:rsidRPr="003E27AB" w:rsidP="003E27AB">
      <w:pPr>
        <w:pStyle w:val="AllowPageBreak"/>
      </w:pPr>
    </w:p>
    <w:p w:rsidR="00000000" w:rsidRPr="003E27AB" w:rsidP="003E27AB">
      <w:pPr>
        <w:pStyle w:val="Heading1"/>
      </w:pPr>
      <w:bookmarkStart w:id="3" w:name="O_692508"/>
      <w:bookmarkEnd w:id="3"/>
      <w:r w:rsidRPr="003E27AB">
        <w:t>Knowledge Evidence</w:t>
      </w:r>
    </w:p>
    <w:p w:rsidR="00000000" w:rsidRPr="003E27AB" w:rsidP="00801FD9">
      <w:pPr>
        <w:pStyle w:val="BodyText"/>
      </w:pPr>
      <w:r w:rsidRPr="003E27AB">
        <w:t>The candidate must demonstrate knowledge of rig up and rig down for well servicing  through:</w:t>
      </w:r>
    </w:p>
    <w:p w:rsidR="00000000" w:rsidRPr="003E27AB" w:rsidP="003E27AB">
      <w:pPr>
        <w:pStyle w:val="ListBullet"/>
      </w:pPr>
      <w:r w:rsidRPr="003E27AB">
        <w:t xml:space="preserve">accessing, interpreting and applying the organisation and site requirements and procedures </w:t>
      </w:r>
    </w:p>
    <w:p w:rsidR="00000000" w:rsidRPr="003E27AB" w:rsidP="003E27AB">
      <w:pPr>
        <w:pStyle w:val="ListBullet"/>
      </w:pPr>
      <w:r w:rsidRPr="003E27AB">
        <w:t>application of the unit rigging and slinging</w:t>
      </w:r>
    </w:p>
    <w:p w:rsidR="00000000" w:rsidRPr="003E27AB" w:rsidP="003E27AB">
      <w:pPr>
        <w:pStyle w:val="ListBullet"/>
      </w:pPr>
      <w:r w:rsidRPr="003E27AB">
        <w:t>identifying rig specifica</w:t>
      </w:r>
      <w:r w:rsidRPr="003E27AB">
        <w:t>tions and measurements</w:t>
      </w:r>
    </w:p>
    <w:p w:rsidR="00000000" w:rsidRPr="003E27AB" w:rsidP="003E27AB">
      <w:pPr>
        <w:pStyle w:val="ListBullet"/>
      </w:pPr>
      <w:r w:rsidRPr="003E27AB">
        <w:t>performing metric-imperial conversion</w:t>
      </w:r>
    </w:p>
    <w:p w:rsidR="00000000" w:rsidRPr="003E27AB" w:rsidP="003E27AB">
      <w:pPr>
        <w:pStyle w:val="ListBullet"/>
      </w:pPr>
      <w:r w:rsidRPr="003E27AB">
        <w:t>determining the program to pre-start operations</w:t>
      </w:r>
    </w:p>
    <w:p w:rsidR="00000000" w:rsidRPr="003E27AB" w:rsidP="003E27AB">
      <w:pPr>
        <w:pStyle w:val="ListBullet"/>
      </w:pPr>
      <w:r w:rsidRPr="003E27AB">
        <w:t>identifying and resourcing equipment</w:t>
      </w:r>
    </w:p>
    <w:p w:rsidR="00000000" w:rsidRPr="003E27AB" w:rsidP="003E27AB">
      <w:pPr>
        <w:pStyle w:val="ListBullet"/>
      </w:pPr>
      <w:r w:rsidRPr="003E27AB">
        <w:t>carrying out and managing rig up procedures</w:t>
      </w:r>
    </w:p>
    <w:p w:rsidR="00000000" w:rsidRPr="003E27AB" w:rsidP="003E27AB">
      <w:pPr>
        <w:pStyle w:val="ListBullet"/>
      </w:pPr>
      <w:r w:rsidRPr="003E27AB">
        <w:t>maintaining fluid systems</w:t>
      </w:r>
    </w:p>
    <w:p w:rsidR="00000000" w:rsidRPr="003E27AB" w:rsidP="003E27AB">
      <w:pPr>
        <w:pStyle w:val="ListBullet"/>
      </w:pPr>
      <w:r w:rsidRPr="003E27AB">
        <w:t>performing routine well servicing operations</w:t>
      </w:r>
    </w:p>
    <w:p w:rsidR="00000000" w:rsidRPr="003E27AB" w:rsidP="003E27AB">
      <w:pPr>
        <w:pStyle w:val="AllowPageBreak"/>
      </w:pPr>
    </w:p>
    <w:p w:rsidR="00000000" w:rsidRPr="003E27AB" w:rsidP="003E27AB">
      <w:pPr>
        <w:pStyle w:val="Heading1"/>
      </w:pPr>
      <w:bookmarkStart w:id="4" w:name="O_692507"/>
      <w:bookmarkEnd w:id="4"/>
      <w:r w:rsidRPr="003E27AB">
        <w:t>Assessment Conditions</w:t>
      </w:r>
    </w:p>
    <w:p w:rsidR="00000000" w:rsidRPr="003E27AB" w:rsidP="003E27AB">
      <w:pPr>
        <w:pStyle w:val="ListBullet"/>
      </w:pPr>
      <w:r w:rsidRPr="003E27AB">
        <w:t xml:space="preserve">An assessor of this unit must satisfy the requirements of the NVR/AQTF or their successors; and Industry regulations for certification and licensing; and, </w:t>
      </w:r>
    </w:p>
    <w:p w:rsidR="00000000" w:rsidRPr="003E27AB" w:rsidP="003E27AB">
      <w:pPr>
        <w:pStyle w:val="ListBullet"/>
      </w:pPr>
      <w:r w:rsidRPr="003E27AB">
        <w:t>this unit is be</w:t>
      </w:r>
      <w:r w:rsidRPr="003E27AB">
        <w:t>st assessed in the context of this sector’s work environment;</w:t>
      </w:r>
    </w:p>
    <w:p w:rsidR="00000000" w:rsidRPr="003E27AB" w:rsidP="003E27AB">
      <w:pPr>
        <w:pStyle w:val="ListBullet"/>
      </w:pPr>
      <w:r w:rsidRPr="003E27AB">
        <w:t>where personal safety or environmental damage are limiting factors, assessment may occur in a simulated environment provided it is realistic and sufficiently rigorous to cover all aspects of thi</w:t>
      </w:r>
      <w:r w:rsidRPr="003E27AB">
        <w:t>s sector’s workplace performance, including environment, task skills, task management skills, contingency management skills and job role environment skills; and,</w:t>
      </w:r>
    </w:p>
    <w:p w:rsidR="00000000" w:rsidRPr="003E27AB" w:rsidP="003E27AB">
      <w:pPr>
        <w:pStyle w:val="ListBullet"/>
      </w:pPr>
      <w:r w:rsidRPr="003E27AB">
        <w:t>this unit must be assessed in compliance with relevant legislation/regulation and using polici</w:t>
      </w:r>
      <w:r w:rsidRPr="003E27AB">
        <w:t>es, procedures, processes and operational manuals directly related to the industry sector for which it is being assessed; and,</w:t>
      </w:r>
    </w:p>
    <w:p w:rsidR="00000000" w:rsidRPr="003E27AB" w:rsidP="003E27AB">
      <w:pPr>
        <w:pStyle w:val="ListBullet"/>
      </w:pPr>
      <w:r w:rsidRPr="003E27AB">
        <w:t>assessment may be conducted in conjunction with the assessment of other Units of Competency; and,</w:t>
      </w:r>
    </w:p>
    <w:p w:rsidR="00000000" w:rsidRPr="003E27AB" w:rsidP="003E27AB">
      <w:pPr>
        <w:pStyle w:val="ListBullet"/>
      </w:pPr>
      <w:r w:rsidRPr="003E27AB">
        <w:t>assessment must confirm consist</w:t>
      </w:r>
      <w:r w:rsidRPr="003E27AB">
        <w:t>ent performance can be applied in a range of relevant workplace circumstances; and,</w:t>
      </w:r>
    </w:p>
    <w:p w:rsidR="00000000" w:rsidRPr="003E27AB" w:rsidP="003E27AB">
      <w:pPr>
        <w:pStyle w:val="ListBullet"/>
      </w:pPr>
      <w:r w:rsidRPr="003E27AB">
        <w:t>assessors must demonstrate the performance evidence, and knowledge evidence as outlined in this Unit of Competency, and through the minimum years of current* work experienc</w:t>
      </w:r>
      <w:r w:rsidRPr="003E27AB">
        <w:t>e specified below in an Industry sector relevant to the outcomes of the unit; or,</w:t>
      </w:r>
    </w:p>
    <w:p w:rsidR="00000000" w:rsidRPr="003E27AB" w:rsidP="003E27AB">
      <w:pPr>
        <w:pStyle w:val="ListBullet"/>
      </w:pPr>
      <w:r w:rsidRPr="003E27AB">
        <w:t>where the assessor does not meet experience requirements a co-assessment or partnership arrangement must exist between the qualified assessor and an Industry subject matter e</w:t>
      </w:r>
      <w:r w:rsidRPr="003E27AB">
        <w:t>xpert. The Industry subject matter expert should hold the unit being assessed (or an equivalent unit) and/or demonstrate equivalence of skills and knowledge at the unit level. An Industry technical expert must also demonstrate skills and knowledge from the</w:t>
      </w:r>
      <w:r w:rsidRPr="003E27AB">
        <w:t xml:space="preserve"> minimum years of current work experience specified below in the Industry sector, including time spent in roles related to the unit being assessed; and,</w:t>
      </w:r>
    </w:p>
    <w:p w:rsidR="00000000" w:rsidRPr="003E27AB" w:rsidP="003E27AB">
      <w:pPr>
        <w:pStyle w:val="ListBullet"/>
      </w:pPr>
      <w:r w:rsidRPr="003E27AB">
        <w:t>assessor and Industry subject matter expert requirements differ depending on the Australian Qualificati</w:t>
      </w:r>
      <w:r w:rsidRPr="003E27AB">
        <w:t>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E27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Heading4"/>
              <w:rPr>
                <w:lang w:val="en-NZ"/>
              </w:rPr>
            </w:pPr>
            <w:r w:rsidRPr="003E27A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Heading4"/>
              <w:rPr>
                <w:lang w:val="en-NZ"/>
              </w:rPr>
            </w:pPr>
            <w:r w:rsidRPr="003E27A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Heading4"/>
              <w:rPr>
                <w:lang w:val="en-NZ"/>
              </w:rPr>
            </w:pPr>
            <w:r w:rsidRPr="003E27AB">
              <w:t>Required assessor or Industry subject matter expert experience</w:t>
            </w:r>
          </w:p>
        </w:tc>
      </w:tr>
      <w:tr w:rsidTr="003E27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1 Year</w:t>
            </w:r>
          </w:p>
        </w:tc>
      </w:tr>
      <w:tr w:rsidTr="003E27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2 Years</w:t>
            </w:r>
          </w:p>
        </w:tc>
      </w:tr>
      <w:tr w:rsidTr="003E27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3 Years</w:t>
            </w:r>
          </w:p>
        </w:tc>
      </w:tr>
      <w:tr w:rsidTr="003E27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5 Years</w:t>
            </w:r>
          </w:p>
        </w:tc>
      </w:tr>
      <w:tr w:rsidTr="003E27A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7AB">
            <w:pPr>
              <w:pStyle w:val="BodyText"/>
              <w:rPr>
                <w:lang w:val="en-NZ"/>
              </w:rPr>
            </w:pPr>
            <w:r w:rsidRPr="003E27A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27AB" w:rsidP="003E27AB">
            <w:pPr>
              <w:pStyle w:val="BodyText"/>
            </w:pPr>
            <w:r w:rsidRPr="003E27A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E27AB">
              <w:t>ndard is specified should comply with any relevant regulation.</w:t>
            </w:r>
          </w:p>
        </w:tc>
      </w:tr>
    </w:tbl>
    <w:p w:rsidR="00000000" w:rsidRPr="003E27AB" w:rsidP="00801FD9">
      <w:pPr>
        <w:pStyle w:val="BodyText"/>
      </w:pPr>
      <w:r w:rsidRPr="003E27AB">
        <w:t>*Assessors can demonstrate current work experience through employment within Industry in a role relevant to the outcomes of the Unit; or, for external assessors this can be demonstrated throu</w:t>
      </w:r>
      <w:r w:rsidRPr="003E27AB">
        <w:t>gh exposure to Industry by conducting frequent site assessments across various locations.</w:t>
      </w:r>
    </w:p>
    <w:p w:rsidR="00000000" w:rsidRPr="003E27AB" w:rsidP="00801FD9">
      <w:pPr>
        <w:pStyle w:val="BodyText"/>
      </w:pPr>
      <w:r w:rsidRPr="003E27AB">
        <w:t>**Where a unit is being delivered outside of a Qualification the first numeric character in the Unit code should be considered to indicate the AQF level</w:t>
      </w:r>
    </w:p>
    <w:p w:rsidR="00000000" w:rsidRPr="003E27AB" w:rsidP="003E27AB">
      <w:pPr>
        <w:pStyle w:val="Heading1"/>
      </w:pPr>
      <w:bookmarkStart w:id="5" w:name="O_692519"/>
      <w:bookmarkEnd w:id="5"/>
      <w:r w:rsidRPr="003E27AB">
        <w:t>Links</w:t>
      </w:r>
    </w:p>
    <w:p w:rsidR="00000000" w:rsidRPr="003E27AB" w:rsidP="00801FD9">
      <w:pPr>
        <w:pStyle w:val="BodyText"/>
      </w:pPr>
      <w:r w:rsidRPr="003E27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86DE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E27AB" w:rsidP="003E27AB"/>
    <w:sectPr w:rsidSect="003E27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AB" w:rsidRPr="00801FD9" w:rsidP="00801F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FD9" w:rsidP="003E2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FD9" w:rsidP="003E2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1FD9" w:rsidP="003E27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F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7AB" w:rsidRPr="00801FD9" w:rsidP="00801F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FD9" w:rsidRPr="002D2AF8" w:rsidP="003E2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RIIWSV401D Rig up and rig down for well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801FD9" w:rsidP="003E27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C4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38C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68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7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7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7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7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7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7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7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7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7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7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7AB"/>
  </w:style>
  <w:style w:type="character" w:customStyle="1" w:styleId="Heading1Char">
    <w:name w:val="Heading 1 Char"/>
    <w:basedOn w:val="DefaultParagraphFont"/>
    <w:link w:val="Heading1"/>
    <w:rsid w:val="003E27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7A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E27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7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7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27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27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7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27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7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7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7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7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7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7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7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7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7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7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7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7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7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7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27AB"/>
    <w:rPr>
      <w:b/>
      <w:spacing w:val="0"/>
    </w:rPr>
  </w:style>
  <w:style w:type="paragraph" w:customStyle="1" w:styleId="SuperTitle">
    <w:name w:val="SuperTitle"/>
    <w:basedOn w:val="Title"/>
    <w:rsid w:val="003E27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7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7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7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7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7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7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7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7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7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7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7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7AB"/>
    <w:rPr>
      <w:i/>
    </w:rPr>
  </w:style>
  <w:style w:type="paragraph" w:styleId="Caption">
    <w:name w:val="caption"/>
    <w:basedOn w:val="BodyText"/>
    <w:next w:val="Normal"/>
    <w:qFormat/>
    <w:rsid w:val="003E27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7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7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7AB"/>
  </w:style>
  <w:style w:type="paragraph" w:styleId="TableofFigures">
    <w:name w:val="table of figures"/>
    <w:basedOn w:val="Normal"/>
    <w:next w:val="Normal"/>
    <w:semiHidden/>
    <w:rsid w:val="003E27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7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27AB"/>
    <w:rPr>
      <w:rFonts w:ascii="Wingdings" w:hAnsi="Wingdings"/>
    </w:rPr>
  </w:style>
  <w:style w:type="paragraph" w:customStyle="1" w:styleId="TableHeading">
    <w:name w:val="Table Heading"/>
    <w:basedOn w:val="HeadingBase"/>
    <w:rsid w:val="003E27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7AB"/>
    <w:rPr>
      <w:color w:val="0033CC"/>
      <w:u w:val="none"/>
    </w:rPr>
  </w:style>
  <w:style w:type="paragraph" w:customStyle="1" w:styleId="BodyTextRight">
    <w:name w:val="Body Text Right"/>
    <w:basedOn w:val="BodyText"/>
    <w:rsid w:val="003E27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7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7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7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7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7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7AB"/>
    <w:rPr>
      <w:sz w:val="32"/>
    </w:rPr>
  </w:style>
  <w:style w:type="paragraph" w:customStyle="1" w:styleId="HeadingProcedure">
    <w:name w:val="Heading Procedure"/>
    <w:basedOn w:val="HeadingBase"/>
    <w:next w:val="Normal"/>
    <w:rsid w:val="003E27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7AB"/>
    <w:pPr>
      <w:spacing w:before="60" w:after="60"/>
    </w:pPr>
  </w:style>
  <w:style w:type="paragraph" w:styleId="ListContinue">
    <w:name w:val="List Continue"/>
    <w:basedOn w:val="List"/>
    <w:rsid w:val="003E27AB"/>
    <w:pPr>
      <w:ind w:firstLine="0"/>
    </w:pPr>
  </w:style>
  <w:style w:type="paragraph" w:customStyle="1" w:styleId="ListNote">
    <w:name w:val="List Note"/>
    <w:basedOn w:val="List"/>
    <w:rsid w:val="003E27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7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7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7AB"/>
    <w:rPr>
      <w:rFonts w:ascii="Courier New" w:hAnsi="Courier New"/>
    </w:rPr>
  </w:style>
  <w:style w:type="paragraph" w:customStyle="1" w:styleId="NoteBullet">
    <w:name w:val="Note Bullet"/>
    <w:basedOn w:val="Note"/>
    <w:rsid w:val="003E27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7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7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7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7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27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7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7AB"/>
    <w:rPr>
      <w:b/>
      <w:smallCaps/>
    </w:rPr>
  </w:style>
  <w:style w:type="paragraph" w:customStyle="1" w:styleId="TableListNumber">
    <w:name w:val="Table List Number"/>
    <w:basedOn w:val="ListNumber"/>
    <w:rsid w:val="003E27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7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7AB"/>
    <w:pPr>
      <w:numPr>
        <w:numId w:val="9"/>
      </w:numPr>
    </w:pPr>
  </w:style>
  <w:style w:type="paragraph" w:customStyle="1" w:styleId="ListAlpha2">
    <w:name w:val="List Alpha 2"/>
    <w:basedOn w:val="List2"/>
    <w:rsid w:val="003E27AB"/>
    <w:pPr>
      <w:numPr>
        <w:numId w:val="8"/>
      </w:numPr>
    </w:pPr>
  </w:style>
  <w:style w:type="paragraph" w:styleId="List2">
    <w:name w:val="List 2"/>
    <w:basedOn w:val="BodyText"/>
    <w:rsid w:val="003E27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7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7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7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7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7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27AB"/>
    <w:pPr>
      <w:numPr>
        <w:numId w:val="4"/>
      </w:numPr>
    </w:pPr>
  </w:style>
  <w:style w:type="paragraph" w:styleId="ListContinue2">
    <w:name w:val="List Continue 2"/>
    <w:basedOn w:val="List2"/>
    <w:rsid w:val="003E27AB"/>
    <w:pPr>
      <w:ind w:firstLine="0"/>
    </w:pPr>
  </w:style>
  <w:style w:type="paragraph" w:styleId="ListContinue3">
    <w:name w:val="List Continue 3"/>
    <w:basedOn w:val="List3"/>
    <w:rsid w:val="003E27AB"/>
    <w:pPr>
      <w:ind w:left="1021" w:firstLine="0"/>
    </w:pPr>
  </w:style>
  <w:style w:type="paragraph" w:styleId="ListContinue4">
    <w:name w:val="List Continue 4"/>
    <w:basedOn w:val="List4"/>
    <w:rsid w:val="003E27AB"/>
    <w:pPr>
      <w:ind w:firstLine="0"/>
    </w:pPr>
  </w:style>
  <w:style w:type="paragraph" w:styleId="ListContinue5">
    <w:name w:val="List Continue 5"/>
    <w:basedOn w:val="List5"/>
    <w:rsid w:val="003E27AB"/>
    <w:pPr>
      <w:ind w:firstLine="0"/>
    </w:pPr>
  </w:style>
  <w:style w:type="paragraph" w:styleId="ListNumber3">
    <w:name w:val="List Number 3"/>
    <w:basedOn w:val="List3"/>
    <w:rsid w:val="003E27AB"/>
    <w:pPr>
      <w:numPr>
        <w:numId w:val="5"/>
      </w:numPr>
    </w:pPr>
  </w:style>
  <w:style w:type="paragraph" w:styleId="ListNumber4">
    <w:name w:val="List Number 4"/>
    <w:basedOn w:val="List4"/>
    <w:rsid w:val="003E27AB"/>
    <w:pPr>
      <w:numPr>
        <w:numId w:val="6"/>
      </w:numPr>
    </w:pPr>
  </w:style>
  <w:style w:type="paragraph" w:styleId="ListNumber5">
    <w:name w:val="List Number 5"/>
    <w:basedOn w:val="List5"/>
    <w:rsid w:val="003E27AB"/>
    <w:pPr>
      <w:numPr>
        <w:numId w:val="7"/>
      </w:numPr>
    </w:pPr>
  </w:style>
  <w:style w:type="paragraph" w:styleId="BlockText">
    <w:name w:val="Block Text"/>
    <w:basedOn w:val="Normal"/>
    <w:rsid w:val="003E27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7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7AB"/>
    <w:rPr>
      <w:sz w:val="16"/>
      <w:vertAlign w:val="superscript"/>
    </w:rPr>
  </w:style>
  <w:style w:type="character" w:customStyle="1" w:styleId="Symbols">
    <w:name w:val="Symbols"/>
    <w:basedOn w:val="DefaultParagraphFont"/>
    <w:rsid w:val="003E27AB"/>
    <w:rPr>
      <w:rFonts w:ascii="Symbol" w:hAnsi="Symbol"/>
    </w:rPr>
  </w:style>
  <w:style w:type="character" w:customStyle="1" w:styleId="MenuOptions">
    <w:name w:val="Menu Options"/>
    <w:basedOn w:val="DefaultParagraphFont"/>
    <w:rsid w:val="003E27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7AB"/>
    <w:rPr>
      <w:b/>
    </w:rPr>
  </w:style>
  <w:style w:type="character" w:customStyle="1" w:styleId="Underlined">
    <w:name w:val="Underlined"/>
    <w:basedOn w:val="DefaultParagraphFont"/>
    <w:rsid w:val="003E27AB"/>
    <w:rPr>
      <w:u w:val="single"/>
    </w:rPr>
  </w:style>
  <w:style w:type="paragraph" w:customStyle="1" w:styleId="TableBodyTextRight">
    <w:name w:val="Table Body Text Right"/>
    <w:basedOn w:val="TableBodyText"/>
    <w:rsid w:val="003E27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7AB"/>
    <w:rPr>
      <w:sz w:val="18"/>
    </w:rPr>
  </w:style>
  <w:style w:type="paragraph" w:customStyle="1" w:styleId="BodySmallRight">
    <w:name w:val="Body Small Right"/>
    <w:basedOn w:val="BodyTextRight"/>
    <w:rsid w:val="003E27AB"/>
    <w:rPr>
      <w:sz w:val="18"/>
      <w:szCs w:val="18"/>
    </w:rPr>
  </w:style>
  <w:style w:type="paragraph" w:customStyle="1" w:styleId="MarginEdition">
    <w:name w:val="Margin Edition"/>
    <w:basedOn w:val="MarginNote"/>
    <w:rsid w:val="003E27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7AB"/>
    <w:rPr>
      <w:sz w:val="2"/>
      <w:szCs w:val="2"/>
    </w:rPr>
  </w:style>
  <w:style w:type="character" w:customStyle="1" w:styleId="Small">
    <w:name w:val="Small"/>
    <w:basedOn w:val="DefaultParagraphFont"/>
    <w:rsid w:val="003E27AB"/>
    <w:rPr>
      <w:sz w:val="16"/>
    </w:rPr>
  </w:style>
  <w:style w:type="paragraph" w:customStyle="1" w:styleId="WideTable">
    <w:name w:val="Wide Table"/>
    <w:basedOn w:val="Normal"/>
    <w:rsid w:val="003E27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7AB"/>
  </w:style>
  <w:style w:type="paragraph" w:styleId="Quote">
    <w:name w:val="Quote"/>
    <w:basedOn w:val="Heading1"/>
    <w:link w:val="QuoteChar"/>
    <w:qFormat/>
    <w:rsid w:val="003E27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7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7AB"/>
    <w:pPr>
      <w:pageBreakBefore/>
    </w:pPr>
  </w:style>
  <w:style w:type="paragraph" w:customStyle="1" w:styleId="Border">
    <w:name w:val="Border"/>
    <w:basedOn w:val="Normal"/>
    <w:qFormat/>
    <w:rsid w:val="003E27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7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7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7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7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7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7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7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7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7AB"/>
    <w:rPr>
      <w:u w:val="single"/>
    </w:rPr>
  </w:style>
  <w:style w:type="character" w:customStyle="1" w:styleId="BoldandItalics">
    <w:name w:val="Bold and Italics"/>
    <w:qFormat/>
    <w:rsid w:val="003E27AB"/>
    <w:rPr>
      <w:b/>
      <w:i/>
      <w:u w:val="none"/>
    </w:rPr>
  </w:style>
  <w:style w:type="paragraph" w:styleId="BalloonText">
    <w:name w:val="Balloon Text"/>
    <w:basedOn w:val="Normal"/>
    <w:link w:val="BalloonTextChar"/>
    <w:rsid w:val="003E2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7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7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7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7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7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7AB"/>
    <w:pPr>
      <w:spacing w:before="0" w:after="0"/>
    </w:pPr>
  </w:style>
  <w:style w:type="paragraph" w:customStyle="1" w:styleId="BodyTextBold">
    <w:name w:val="Body Text Bold"/>
    <w:basedOn w:val="BodyText"/>
    <w:qFormat/>
    <w:rsid w:val="003E27AB"/>
    <w:rPr>
      <w:b/>
    </w:rPr>
  </w:style>
  <w:style w:type="character" w:styleId="Hyperlink">
    <w:name w:val="Hyperlink"/>
    <w:basedOn w:val="DefaultParagraphFont"/>
    <w:uiPriority w:val="99"/>
    <w:unhideWhenUsed/>
    <w:rsid w:val="00801F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5188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RIIWSV401D Rig up and rig down for well servicing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2020-07-08T07:33:00Z</dcterms:created>
  <dcterms:modified xsi:type="dcterms:W3CDTF">2020-07-08T07:33:00Z</dcterms:modified>
</cp:coreProperties>
</file>