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B45" w:rsidP="00200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RIIWSV303D Operate fluid systems</w:t>
      </w:r>
      <w:r>
        <w:fldChar w:fldCharType="end"/>
      </w:r>
    </w:p>
    <w:p w:rsidR="00200B45" w:rsidP="00200B45">
      <w:pPr>
        <w:pStyle w:val="Version"/>
        <w:sectPr w:rsidSect="00E67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6734D" w:rsidP="00E6734D">
      <w:pPr>
        <w:pStyle w:val="SuperHeading"/>
      </w:pPr>
      <w:r w:rsidRPr="00E6734D">
        <w:t>Assessment Requirements for RIIWSV303D Operate fluid systems</w:t>
      </w:r>
    </w:p>
    <w:p w:rsidR="00000000" w:rsidRPr="00E6734D" w:rsidP="00E6734D">
      <w:pPr>
        <w:pStyle w:val="Heading1"/>
      </w:pPr>
      <w:bookmarkStart w:id="1" w:name="O_692476"/>
      <w:bookmarkEnd w:id="1"/>
      <w:r w:rsidRPr="00E673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00B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Heading4"/>
              <w:rPr>
                <w:lang w:val="en-NZ"/>
              </w:rPr>
            </w:pPr>
            <w:r w:rsidRPr="00E6734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Heading4"/>
              <w:rPr>
                <w:lang w:val="en-NZ"/>
              </w:rPr>
            </w:pPr>
            <w:r w:rsidRPr="00E6734D">
              <w:t>Comment</w:t>
            </w:r>
          </w:p>
        </w:tc>
      </w:tr>
      <w:tr w:rsidTr="00200B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This is a new unit</w:t>
            </w:r>
          </w:p>
        </w:tc>
      </w:tr>
      <w:tr w:rsidTr="00200B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Corrected incorrect Elements and Performance Criteria that were loaded to TGA in release 1.</w:t>
            </w:r>
          </w:p>
        </w:tc>
      </w:tr>
      <w:tr w:rsidTr="00200B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34D" w:rsidP="00E6734D">
            <w:pPr>
              <w:pStyle w:val="BodyText"/>
            </w:pPr>
            <w:r w:rsidRPr="00E6734D">
              <w:t>Required frequency and volume of evidence amended in Performance evidence.</w:t>
            </w:r>
          </w:p>
          <w:p w:rsidR="00000000" w:rsidRPr="00E6734D" w:rsidP="00E6734D">
            <w:pPr>
              <w:pStyle w:val="BodyText"/>
            </w:pPr>
            <w:r w:rsidRPr="00E6734D">
              <w:t>Substant</w:t>
            </w:r>
            <w:r w:rsidRPr="00E6734D">
              <w:t>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6734D" w:rsidP="00E6734D">
      <w:pPr>
        <w:pStyle w:val="BodyText"/>
      </w:pPr>
    </w:p>
    <w:p w:rsidR="00000000" w:rsidRPr="00E6734D" w:rsidP="00E6734D">
      <w:pPr>
        <w:pStyle w:val="AllowPageBreak"/>
      </w:pPr>
    </w:p>
    <w:p w:rsidR="00000000" w:rsidRPr="00E6734D" w:rsidP="00E6734D">
      <w:pPr>
        <w:pStyle w:val="Heading1"/>
      </w:pPr>
      <w:bookmarkStart w:id="2" w:name="O_692475"/>
      <w:bookmarkEnd w:id="2"/>
      <w:r w:rsidRPr="00E6734D">
        <w:t>Performance Evidence</w:t>
      </w:r>
    </w:p>
    <w:p w:rsidR="00000000" w:rsidRPr="00E6734D" w:rsidP="00200B45">
      <w:pPr>
        <w:pStyle w:val="BodyText"/>
      </w:pPr>
      <w:r w:rsidRPr="00E6734D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E6734D">
        <w:t>f this unit and include evidence that the candidate:</w:t>
      </w:r>
    </w:p>
    <w:p w:rsidR="00000000" w:rsidRPr="00E6734D" w:rsidP="00E6734D">
      <w:pPr>
        <w:pStyle w:val="ListBullet"/>
      </w:pPr>
      <w:r w:rsidRPr="00E6734D">
        <w:t>locates and applies relevant legislation, documentation, policies and procedures</w:t>
      </w:r>
    </w:p>
    <w:p w:rsidR="00000000" w:rsidRPr="00E6734D" w:rsidP="00E6734D">
      <w:pPr>
        <w:pStyle w:val="ListBullet"/>
      </w:pPr>
      <w:r w:rsidRPr="00E6734D">
        <w:t>works effectively with others to undertake and complete fluid system operations that meets all of the required outcomes i</w:t>
      </w:r>
      <w:r w:rsidRPr="00E6734D">
        <w:t>ncluding:</w:t>
      </w:r>
    </w:p>
    <w:p w:rsidR="00000000" w:rsidRPr="00E6734D" w:rsidP="00E6734D">
      <w:pPr>
        <w:pStyle w:val="ListBullet2"/>
      </w:pPr>
      <w:r w:rsidRPr="00E6734D">
        <w:t>complying with written and verbal reporting requirements and procedures</w:t>
      </w:r>
    </w:p>
    <w:p w:rsidR="00000000" w:rsidRPr="00E6734D" w:rsidP="00E6734D">
      <w:pPr>
        <w:pStyle w:val="ListBullet2"/>
      </w:pPr>
      <w:r w:rsidRPr="00E6734D">
        <w:t>communicating clearly and concisely with others to receive and clarify work instructions</w:t>
      </w:r>
    </w:p>
    <w:p w:rsidR="00000000" w:rsidRPr="00E6734D" w:rsidP="00E6734D">
      <w:pPr>
        <w:pStyle w:val="ListBullet2"/>
      </w:pPr>
      <w:r w:rsidRPr="00E6734D">
        <w:t>communicating clearly and concisely with others to resolve coordination requirements</w:t>
      </w:r>
      <w:r w:rsidRPr="00E6734D">
        <w:t xml:space="preserve"> throughout work activities</w:t>
      </w:r>
    </w:p>
    <w:p w:rsidR="00000000" w:rsidRPr="00E6734D" w:rsidP="00E6734D">
      <w:pPr>
        <w:pStyle w:val="ListBullet"/>
      </w:pPr>
      <w:r w:rsidRPr="00E6734D">
        <w:t>demonstrates completion of operating fluid systems that safely, effectively and efficiently meets all of the required outcomes on more than one (1) occasion including:</w:t>
      </w:r>
    </w:p>
    <w:p w:rsidR="00000000" w:rsidRPr="00E6734D" w:rsidP="00E6734D">
      <w:pPr>
        <w:pStyle w:val="ListBullet2"/>
      </w:pPr>
      <w:r w:rsidRPr="00E6734D">
        <w:t xml:space="preserve">confirming and preparing required permits </w:t>
      </w:r>
    </w:p>
    <w:p w:rsidR="00000000" w:rsidRPr="00E6734D" w:rsidP="00E6734D">
      <w:pPr>
        <w:pStyle w:val="ListBullet2"/>
      </w:pPr>
      <w:r w:rsidRPr="00E6734D">
        <w:t>carrying out op</w:t>
      </w:r>
      <w:r w:rsidRPr="00E6734D">
        <w:t>erational maintenance, servicing, lubrication, cleaning and routine servicing of pumps/mud pumps</w:t>
      </w:r>
    </w:p>
    <w:p w:rsidR="00000000" w:rsidRPr="00E6734D" w:rsidP="00E6734D">
      <w:pPr>
        <w:pStyle w:val="ListBullet2"/>
      </w:pPr>
      <w:r w:rsidRPr="00E6734D">
        <w:t>carrying out pre-start checks, set or adjust critical equipment and test operational function</w:t>
      </w:r>
    </w:p>
    <w:p w:rsidR="00000000" w:rsidRPr="00E6734D" w:rsidP="00E6734D">
      <w:pPr>
        <w:pStyle w:val="ListBullet2"/>
      </w:pPr>
      <w:r w:rsidRPr="00E6734D">
        <w:t xml:space="preserve">carrying out inspection and fault finding on equipment </w:t>
      </w:r>
    </w:p>
    <w:p w:rsidR="00000000" w:rsidRPr="00E6734D" w:rsidP="00E6734D">
      <w:pPr>
        <w:pStyle w:val="ListBullet2"/>
      </w:pPr>
      <w:r w:rsidRPr="00E6734D">
        <w:t>monitorin</w:t>
      </w:r>
      <w:r w:rsidRPr="00E6734D">
        <w:t>g, reporting and adjusting:</w:t>
      </w:r>
    </w:p>
    <w:p w:rsidR="00000000" w:rsidRPr="00E6734D" w:rsidP="00E6734D">
      <w:pPr>
        <w:pStyle w:val="ListBullet3"/>
      </w:pPr>
      <w:r w:rsidRPr="00E6734D">
        <w:t xml:space="preserve">pit/tank levels </w:t>
      </w:r>
    </w:p>
    <w:p w:rsidR="00000000" w:rsidRPr="00E6734D" w:rsidP="00E6734D">
      <w:pPr>
        <w:pStyle w:val="ListBullet3"/>
      </w:pPr>
      <w:r w:rsidRPr="00E6734D">
        <w:t xml:space="preserve">fluid properties </w:t>
      </w:r>
    </w:p>
    <w:p w:rsidR="00000000" w:rsidRPr="00E6734D" w:rsidP="00E6734D">
      <w:pPr>
        <w:pStyle w:val="ListBullet3"/>
      </w:pPr>
      <w:r w:rsidRPr="00E6734D">
        <w:t xml:space="preserve">size of cuttings </w:t>
      </w:r>
    </w:p>
    <w:p w:rsidR="00000000" w:rsidRPr="00E6734D" w:rsidP="00E6734D">
      <w:pPr>
        <w:pStyle w:val="ListBullet3"/>
      </w:pPr>
      <w:r w:rsidRPr="00E6734D">
        <w:t xml:space="preserve">volume of fluid returns </w:t>
      </w:r>
    </w:p>
    <w:p w:rsidR="00000000" w:rsidRPr="00E6734D" w:rsidP="00E6734D">
      <w:pPr>
        <w:pStyle w:val="AllowPageBreak"/>
      </w:pPr>
    </w:p>
    <w:p w:rsidR="00000000" w:rsidRPr="00E6734D" w:rsidP="00E6734D">
      <w:pPr>
        <w:pStyle w:val="Heading1"/>
      </w:pPr>
      <w:bookmarkStart w:id="3" w:name="O_692474"/>
      <w:bookmarkEnd w:id="3"/>
      <w:r w:rsidRPr="00E6734D">
        <w:t>Knowledge Evidence</w:t>
      </w:r>
    </w:p>
    <w:p w:rsidR="00000000" w:rsidRPr="00E6734D" w:rsidP="00200B45">
      <w:pPr>
        <w:pStyle w:val="BodyText"/>
      </w:pPr>
      <w:r w:rsidRPr="00E6734D">
        <w:t>The candidate must demonstrate knowledge of operating fluid systems through:</w:t>
      </w:r>
    </w:p>
    <w:p w:rsidR="00000000" w:rsidRPr="00E6734D" w:rsidP="00E6734D">
      <w:pPr>
        <w:pStyle w:val="ListBullet"/>
      </w:pPr>
      <w:r w:rsidRPr="00E6734D">
        <w:t xml:space="preserve">accessing, interpreting and applying the organisation and site requirements and procedures </w:t>
      </w:r>
    </w:p>
    <w:p w:rsidR="00000000" w:rsidRPr="00E6734D" w:rsidP="00E6734D">
      <w:pPr>
        <w:pStyle w:val="ListBullet"/>
      </w:pPr>
      <w:r w:rsidRPr="00E6734D">
        <w:t xml:space="preserve">carrying out rig up procedures </w:t>
      </w:r>
    </w:p>
    <w:p w:rsidR="00000000" w:rsidRPr="00E6734D" w:rsidP="00E6734D">
      <w:pPr>
        <w:pStyle w:val="ListBullet"/>
      </w:pPr>
      <w:r w:rsidRPr="00E6734D">
        <w:t xml:space="preserve">using rigging and dogging practices </w:t>
      </w:r>
    </w:p>
    <w:p w:rsidR="00000000" w:rsidRPr="00E6734D" w:rsidP="00E6734D">
      <w:pPr>
        <w:pStyle w:val="ListBullet"/>
      </w:pPr>
      <w:r w:rsidRPr="00E6734D">
        <w:t xml:space="preserve">identifying auxiliary equipment functions and service requirements </w:t>
      </w:r>
    </w:p>
    <w:p w:rsidR="00000000" w:rsidRPr="00E6734D" w:rsidP="00E6734D">
      <w:pPr>
        <w:pStyle w:val="ListBullet"/>
      </w:pPr>
      <w:r w:rsidRPr="00E6734D">
        <w:t xml:space="preserve">identifying specific auxiliary rig up sequence </w:t>
      </w:r>
    </w:p>
    <w:p w:rsidR="00000000" w:rsidRPr="00E6734D" w:rsidP="00E6734D">
      <w:pPr>
        <w:pStyle w:val="ListBullet"/>
      </w:pPr>
      <w:r w:rsidRPr="00E6734D">
        <w:t xml:space="preserve">identifying safety and environmental issues </w:t>
      </w:r>
    </w:p>
    <w:p w:rsidR="00000000" w:rsidRPr="00E6734D" w:rsidP="00E6734D">
      <w:pPr>
        <w:pStyle w:val="ListBullet"/>
      </w:pPr>
      <w:r w:rsidRPr="00E6734D">
        <w:t xml:space="preserve">using communication equipment </w:t>
      </w:r>
    </w:p>
    <w:p w:rsidR="00000000" w:rsidRPr="00E6734D" w:rsidP="00E6734D">
      <w:pPr>
        <w:pStyle w:val="ListBullet"/>
      </w:pPr>
      <w:r w:rsidRPr="00E6734D">
        <w:t xml:space="preserve">carrying out emergency procedures </w:t>
      </w:r>
    </w:p>
    <w:p w:rsidR="00000000" w:rsidRPr="00E6734D" w:rsidP="00E6734D">
      <w:pPr>
        <w:pStyle w:val="ListBullet"/>
      </w:pPr>
      <w:r w:rsidRPr="00E6734D">
        <w:t>performing preventative maintenance</w:t>
      </w:r>
    </w:p>
    <w:p w:rsidR="00000000" w:rsidRPr="00E6734D" w:rsidP="00E6734D">
      <w:pPr>
        <w:pStyle w:val="ListBullet"/>
      </w:pPr>
      <w:r w:rsidRPr="00E6734D">
        <w:t>complying with workplace relations and award conditions</w:t>
      </w:r>
    </w:p>
    <w:p w:rsidR="00000000" w:rsidRPr="00E6734D" w:rsidP="00E6734D">
      <w:pPr>
        <w:pStyle w:val="AllowPageBreak"/>
      </w:pPr>
    </w:p>
    <w:p w:rsidR="00000000" w:rsidRPr="00E6734D" w:rsidP="00E6734D">
      <w:pPr>
        <w:pStyle w:val="Heading1"/>
      </w:pPr>
      <w:bookmarkStart w:id="4" w:name="O_692473"/>
      <w:bookmarkEnd w:id="4"/>
      <w:r w:rsidRPr="00E6734D">
        <w:t>Assessment Conditions</w:t>
      </w:r>
    </w:p>
    <w:p w:rsidR="00000000" w:rsidRPr="00E6734D" w:rsidP="00E6734D">
      <w:pPr>
        <w:pStyle w:val="ListBullet"/>
      </w:pPr>
      <w:r w:rsidRPr="00E6734D">
        <w:t xml:space="preserve">An assessor of this unit must satisfy the requirements of the NVR/AQTF or their successors; and Industry regulations for certification and licensing; and, </w:t>
      </w:r>
    </w:p>
    <w:p w:rsidR="00000000" w:rsidRPr="00E6734D" w:rsidP="00E6734D">
      <w:pPr>
        <w:pStyle w:val="ListBullet"/>
      </w:pPr>
      <w:r w:rsidRPr="00E6734D">
        <w:t>this unit is best assessed in the context of this sector’s work e</w:t>
      </w:r>
      <w:r w:rsidRPr="00E6734D">
        <w:t>nvironment;</w:t>
      </w:r>
    </w:p>
    <w:p w:rsidR="00000000" w:rsidRPr="00E6734D" w:rsidP="00E6734D">
      <w:pPr>
        <w:pStyle w:val="ListBullet"/>
      </w:pPr>
      <w:r w:rsidRPr="00E6734D">
        <w:t>where personal safety or environmental damage are limiting factors, assessment may occur in a simulated environment provided it is realistic and sufficiently rigorous to cover all aspects of this sector’s workplace performance, including enviro</w:t>
      </w:r>
      <w:r w:rsidRPr="00E6734D">
        <w:t>nment, task skills, task management skills, contingency management skills and job role environment skills; and,</w:t>
      </w:r>
    </w:p>
    <w:p w:rsidR="00000000" w:rsidRPr="00E6734D" w:rsidP="00E6734D">
      <w:pPr>
        <w:pStyle w:val="ListBullet"/>
      </w:pPr>
      <w:r w:rsidRPr="00E6734D">
        <w:t xml:space="preserve">this unit must be assessed in compliance with relevant legislation/regulation and using policies, procedures, processes and operational manuals </w:t>
      </w:r>
      <w:r w:rsidRPr="00E6734D">
        <w:t>directly related to the industry sector for which it is being assessed; and,</w:t>
      </w:r>
    </w:p>
    <w:p w:rsidR="00000000" w:rsidRPr="00E6734D" w:rsidP="00E6734D">
      <w:pPr>
        <w:pStyle w:val="ListBullet"/>
      </w:pPr>
      <w:r w:rsidRPr="00E6734D">
        <w:t>assessment may be conducted in conjunction with the assessment of other Units of Competency; and,</w:t>
      </w:r>
    </w:p>
    <w:p w:rsidR="00000000" w:rsidRPr="00E6734D" w:rsidP="00E6734D">
      <w:pPr>
        <w:pStyle w:val="ListBullet"/>
      </w:pPr>
      <w:r w:rsidRPr="00E6734D">
        <w:t>assessment must confirm consistent performance can be applied in a range of relev</w:t>
      </w:r>
      <w:r w:rsidRPr="00E6734D">
        <w:t>ant workplace circumstances; and,</w:t>
      </w:r>
    </w:p>
    <w:p w:rsidR="00000000" w:rsidRPr="00E6734D" w:rsidP="00E6734D">
      <w:pPr>
        <w:pStyle w:val="ListBullet"/>
      </w:pPr>
      <w:r w:rsidRPr="00E6734D">
        <w:t>assessors must demonstrate the performance evidence, and knowledge evidence as outlined in this Unit of Competency, and through the minimum years of current* work experience specified below in an Industry sector relevant t</w:t>
      </w:r>
      <w:r w:rsidRPr="00E6734D">
        <w:t>o the outcomes of the unit; or,</w:t>
      </w:r>
    </w:p>
    <w:p w:rsidR="00000000" w:rsidRPr="00E6734D" w:rsidP="00E6734D">
      <w:pPr>
        <w:pStyle w:val="ListBullet"/>
      </w:pPr>
      <w:r w:rsidRPr="00E6734D">
        <w:t>where the assessor does not meet experience requirements a co-assessment or partnership arrangement must exist between the qualified assessor and an Industry subject matter expert. The Industry subject matter expert should h</w:t>
      </w:r>
      <w:r w:rsidRPr="00E6734D">
        <w:t>old the unit being assessed (or an equivalent unit) and/or demonstrate equivalence of skills and knowledge at the unit level. An Industry technical expert must also demonstrate skills and knowledge from the minimum years of current work experience specifie</w:t>
      </w:r>
      <w:r w:rsidRPr="00E6734D">
        <w:t>d below in the Industry sector, including time spent in roles related to the unit being assessed; and,</w:t>
      </w:r>
    </w:p>
    <w:p w:rsidR="00000000" w:rsidRPr="00E6734D" w:rsidP="00E6734D">
      <w:pPr>
        <w:pStyle w:val="ListBullet"/>
      </w:pPr>
      <w:r w:rsidRPr="00E6734D">
        <w:t>assessor and Industry subject matter expert requirements differ depending on the Australian Qualifications Framework Level (AQF) of the qualification bei</w:t>
      </w:r>
      <w:r w:rsidRPr="00E6734D">
        <w:t>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673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Heading4"/>
              <w:rPr>
                <w:lang w:val="en-NZ"/>
              </w:rPr>
            </w:pPr>
            <w:r w:rsidRPr="00E6734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Heading4"/>
              <w:rPr>
                <w:lang w:val="en-NZ"/>
              </w:rPr>
            </w:pPr>
            <w:r w:rsidRPr="00E6734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Heading4"/>
              <w:rPr>
                <w:lang w:val="en-NZ"/>
              </w:rPr>
            </w:pPr>
            <w:r w:rsidRPr="00E6734D">
              <w:t>Required assessor or Industry subject matter expert experience</w:t>
            </w:r>
          </w:p>
        </w:tc>
      </w:tr>
      <w:tr w:rsidTr="00E673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1 Year</w:t>
            </w:r>
          </w:p>
        </w:tc>
      </w:tr>
      <w:tr w:rsidTr="00E673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2 Years</w:t>
            </w:r>
          </w:p>
        </w:tc>
      </w:tr>
      <w:tr w:rsidTr="00E673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3 Years</w:t>
            </w:r>
          </w:p>
        </w:tc>
      </w:tr>
      <w:tr w:rsidTr="00E673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5 Years</w:t>
            </w:r>
          </w:p>
        </w:tc>
      </w:tr>
      <w:tr w:rsidTr="00E673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734D">
            <w:pPr>
              <w:pStyle w:val="BodyText"/>
              <w:rPr>
                <w:lang w:val="en-NZ"/>
              </w:rPr>
            </w:pPr>
            <w:r w:rsidRPr="00E6734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734D" w:rsidP="00E6734D">
            <w:pPr>
              <w:pStyle w:val="BodyText"/>
            </w:pPr>
            <w:r w:rsidRPr="00E6734D">
              <w:t>Where this Unit is being assessed outside of the Resources and Infrastructure Sectors assessor and/or Industry subject mat</w:t>
            </w:r>
            <w:r w:rsidRPr="00E6734D">
              <w:t>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E6734D" w:rsidP="00200B45">
      <w:pPr>
        <w:pStyle w:val="BodyText"/>
      </w:pPr>
      <w:r w:rsidRPr="00E6734D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E6734D">
        <w:t>cross various locations.</w:t>
      </w:r>
    </w:p>
    <w:p w:rsidR="00000000" w:rsidRPr="00E6734D" w:rsidP="00200B45">
      <w:pPr>
        <w:pStyle w:val="BodyText"/>
      </w:pPr>
      <w:r w:rsidRPr="00E6734D">
        <w:t>**Where a unit is being delivered outside of a Qualification the first numeric character in the Unit code should be considered to indicate the AQF level</w:t>
      </w:r>
    </w:p>
    <w:p w:rsidR="00000000" w:rsidRPr="00E6734D" w:rsidP="00E6734D">
      <w:pPr>
        <w:pStyle w:val="Heading1"/>
      </w:pPr>
      <w:bookmarkStart w:id="5" w:name="O_692488"/>
      <w:bookmarkEnd w:id="5"/>
      <w:r w:rsidRPr="00E6734D">
        <w:t>Links</w:t>
      </w:r>
    </w:p>
    <w:p w:rsidR="00000000" w:rsidRPr="00E6734D" w:rsidP="00200B45">
      <w:pPr>
        <w:pStyle w:val="BodyText"/>
      </w:pPr>
      <w:r w:rsidRPr="00E6734D">
        <w:t>Companion Volume implementation guides are found in VET</w:t>
      </w:r>
      <w:r w:rsidRPr="00E6734D">
        <w:t xml:space="preserve">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E7D2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734D" w:rsidP="00E6734D"/>
    <w:sectPr w:rsidSect="00E67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4D" w:rsidRPr="00200B45" w:rsidP="00200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45" w:rsidP="00E67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B45" w:rsidP="00E67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0B45" w:rsidP="00E67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34D" w:rsidRPr="00200B45" w:rsidP="00200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45" w:rsidRPr="002D2AF8" w:rsidP="00E67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RIIWSV303D Operate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00B45" w:rsidP="00E67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A3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6F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66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34D"/>
  </w:style>
  <w:style w:type="character" w:customStyle="1" w:styleId="Heading1Char">
    <w:name w:val="Heading 1 Char"/>
    <w:basedOn w:val="DefaultParagraphFont"/>
    <w:link w:val="Heading1"/>
    <w:rsid w:val="00E67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34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67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34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73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73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7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734D"/>
    <w:rPr>
      <w:b/>
      <w:spacing w:val="0"/>
    </w:rPr>
  </w:style>
  <w:style w:type="paragraph" w:customStyle="1" w:styleId="SuperTitle">
    <w:name w:val="SuperTitle"/>
    <w:basedOn w:val="Title"/>
    <w:rsid w:val="00E67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34D"/>
    <w:rPr>
      <w:i/>
    </w:rPr>
  </w:style>
  <w:style w:type="paragraph" w:styleId="Caption">
    <w:name w:val="caption"/>
    <w:basedOn w:val="BodyText"/>
    <w:next w:val="Normal"/>
    <w:qFormat/>
    <w:rsid w:val="00E67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34D"/>
  </w:style>
  <w:style w:type="paragraph" w:styleId="TableofFigures">
    <w:name w:val="table of figures"/>
    <w:basedOn w:val="Normal"/>
    <w:next w:val="Normal"/>
    <w:semiHidden/>
    <w:rsid w:val="00E67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3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734D"/>
    <w:rPr>
      <w:rFonts w:ascii="Wingdings" w:hAnsi="Wingdings"/>
    </w:rPr>
  </w:style>
  <w:style w:type="paragraph" w:customStyle="1" w:styleId="TableHeading">
    <w:name w:val="Table Heading"/>
    <w:basedOn w:val="HeadingBase"/>
    <w:rsid w:val="00E67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34D"/>
    <w:rPr>
      <w:color w:val="0033CC"/>
      <w:u w:val="none"/>
    </w:rPr>
  </w:style>
  <w:style w:type="paragraph" w:customStyle="1" w:styleId="BodyTextRight">
    <w:name w:val="Body Text Right"/>
    <w:basedOn w:val="BodyText"/>
    <w:rsid w:val="00E67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3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34D"/>
    <w:rPr>
      <w:sz w:val="32"/>
    </w:rPr>
  </w:style>
  <w:style w:type="paragraph" w:customStyle="1" w:styleId="HeadingProcedure">
    <w:name w:val="Heading Procedure"/>
    <w:basedOn w:val="HeadingBase"/>
    <w:next w:val="Normal"/>
    <w:rsid w:val="00E67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34D"/>
    <w:pPr>
      <w:spacing w:before="60" w:after="60"/>
    </w:pPr>
  </w:style>
  <w:style w:type="paragraph" w:styleId="ListContinue">
    <w:name w:val="List Continue"/>
    <w:basedOn w:val="List"/>
    <w:rsid w:val="00E6734D"/>
    <w:pPr>
      <w:ind w:firstLine="0"/>
    </w:pPr>
  </w:style>
  <w:style w:type="paragraph" w:customStyle="1" w:styleId="ListNote">
    <w:name w:val="List Note"/>
    <w:basedOn w:val="List"/>
    <w:rsid w:val="00E67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34D"/>
    <w:rPr>
      <w:rFonts w:ascii="Courier New" w:hAnsi="Courier New"/>
    </w:rPr>
  </w:style>
  <w:style w:type="paragraph" w:customStyle="1" w:styleId="NoteBullet">
    <w:name w:val="Note Bullet"/>
    <w:basedOn w:val="Note"/>
    <w:rsid w:val="00E67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3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7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34D"/>
    <w:rPr>
      <w:b/>
      <w:smallCaps/>
    </w:rPr>
  </w:style>
  <w:style w:type="paragraph" w:customStyle="1" w:styleId="TableListNumber">
    <w:name w:val="Table List Number"/>
    <w:basedOn w:val="ListNumber"/>
    <w:rsid w:val="00E67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34D"/>
    <w:pPr>
      <w:numPr>
        <w:numId w:val="10"/>
      </w:numPr>
    </w:pPr>
  </w:style>
  <w:style w:type="paragraph" w:customStyle="1" w:styleId="ListAlpha2">
    <w:name w:val="List Alpha 2"/>
    <w:basedOn w:val="List2"/>
    <w:rsid w:val="00E6734D"/>
    <w:pPr>
      <w:numPr>
        <w:numId w:val="9"/>
      </w:numPr>
    </w:pPr>
  </w:style>
  <w:style w:type="paragraph" w:styleId="List2">
    <w:name w:val="List 2"/>
    <w:basedOn w:val="BodyText"/>
    <w:rsid w:val="00E67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3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73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734D"/>
    <w:pPr>
      <w:numPr>
        <w:numId w:val="5"/>
      </w:numPr>
    </w:pPr>
  </w:style>
  <w:style w:type="paragraph" w:styleId="ListContinue2">
    <w:name w:val="List Continue 2"/>
    <w:basedOn w:val="List2"/>
    <w:rsid w:val="00E6734D"/>
    <w:pPr>
      <w:ind w:firstLine="0"/>
    </w:pPr>
  </w:style>
  <w:style w:type="paragraph" w:styleId="ListContinue3">
    <w:name w:val="List Continue 3"/>
    <w:basedOn w:val="List3"/>
    <w:rsid w:val="00E6734D"/>
    <w:pPr>
      <w:ind w:left="1021" w:firstLine="0"/>
    </w:pPr>
  </w:style>
  <w:style w:type="paragraph" w:styleId="ListContinue4">
    <w:name w:val="List Continue 4"/>
    <w:basedOn w:val="List4"/>
    <w:rsid w:val="00E6734D"/>
    <w:pPr>
      <w:ind w:firstLine="0"/>
    </w:pPr>
  </w:style>
  <w:style w:type="paragraph" w:styleId="ListContinue5">
    <w:name w:val="List Continue 5"/>
    <w:basedOn w:val="List5"/>
    <w:rsid w:val="00E6734D"/>
    <w:pPr>
      <w:ind w:firstLine="0"/>
    </w:pPr>
  </w:style>
  <w:style w:type="paragraph" w:styleId="ListNumber3">
    <w:name w:val="List Number 3"/>
    <w:basedOn w:val="List3"/>
    <w:rsid w:val="00E6734D"/>
    <w:pPr>
      <w:numPr>
        <w:numId w:val="6"/>
      </w:numPr>
    </w:pPr>
  </w:style>
  <w:style w:type="paragraph" w:styleId="ListNumber4">
    <w:name w:val="List Number 4"/>
    <w:basedOn w:val="List4"/>
    <w:rsid w:val="00E6734D"/>
    <w:pPr>
      <w:numPr>
        <w:numId w:val="7"/>
      </w:numPr>
    </w:pPr>
  </w:style>
  <w:style w:type="paragraph" w:styleId="ListNumber5">
    <w:name w:val="List Number 5"/>
    <w:basedOn w:val="List5"/>
    <w:rsid w:val="00E6734D"/>
    <w:pPr>
      <w:numPr>
        <w:numId w:val="8"/>
      </w:numPr>
    </w:pPr>
  </w:style>
  <w:style w:type="paragraph" w:styleId="BlockText">
    <w:name w:val="Block Text"/>
    <w:basedOn w:val="Normal"/>
    <w:rsid w:val="00E67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34D"/>
    <w:rPr>
      <w:sz w:val="16"/>
      <w:vertAlign w:val="superscript"/>
    </w:rPr>
  </w:style>
  <w:style w:type="character" w:customStyle="1" w:styleId="Symbols">
    <w:name w:val="Symbols"/>
    <w:basedOn w:val="DefaultParagraphFont"/>
    <w:rsid w:val="00E6734D"/>
    <w:rPr>
      <w:rFonts w:ascii="Symbol" w:hAnsi="Symbol"/>
    </w:rPr>
  </w:style>
  <w:style w:type="character" w:customStyle="1" w:styleId="MenuOptions">
    <w:name w:val="Menu Options"/>
    <w:basedOn w:val="DefaultParagraphFont"/>
    <w:rsid w:val="00E67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34D"/>
    <w:rPr>
      <w:b/>
    </w:rPr>
  </w:style>
  <w:style w:type="character" w:customStyle="1" w:styleId="Underlined">
    <w:name w:val="Underlined"/>
    <w:basedOn w:val="DefaultParagraphFont"/>
    <w:rsid w:val="00E6734D"/>
    <w:rPr>
      <w:u w:val="single"/>
    </w:rPr>
  </w:style>
  <w:style w:type="paragraph" w:customStyle="1" w:styleId="TableBodyTextRight">
    <w:name w:val="Table Body Text Right"/>
    <w:basedOn w:val="TableBodyText"/>
    <w:rsid w:val="00E67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34D"/>
    <w:rPr>
      <w:sz w:val="18"/>
    </w:rPr>
  </w:style>
  <w:style w:type="paragraph" w:customStyle="1" w:styleId="BodySmallRight">
    <w:name w:val="Body Small Right"/>
    <w:basedOn w:val="BodyTextRight"/>
    <w:rsid w:val="00E6734D"/>
    <w:rPr>
      <w:sz w:val="18"/>
      <w:szCs w:val="18"/>
    </w:rPr>
  </w:style>
  <w:style w:type="paragraph" w:customStyle="1" w:styleId="MarginEdition">
    <w:name w:val="Margin Edition"/>
    <w:basedOn w:val="MarginNote"/>
    <w:rsid w:val="00E67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34D"/>
    <w:rPr>
      <w:sz w:val="2"/>
      <w:szCs w:val="2"/>
    </w:rPr>
  </w:style>
  <w:style w:type="character" w:customStyle="1" w:styleId="Small">
    <w:name w:val="Small"/>
    <w:basedOn w:val="DefaultParagraphFont"/>
    <w:rsid w:val="00E6734D"/>
    <w:rPr>
      <w:sz w:val="16"/>
    </w:rPr>
  </w:style>
  <w:style w:type="paragraph" w:customStyle="1" w:styleId="WideTable">
    <w:name w:val="Wide Table"/>
    <w:basedOn w:val="Normal"/>
    <w:rsid w:val="00E67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34D"/>
  </w:style>
  <w:style w:type="paragraph" w:styleId="Quote">
    <w:name w:val="Quote"/>
    <w:basedOn w:val="Heading1"/>
    <w:link w:val="QuoteChar"/>
    <w:qFormat/>
    <w:rsid w:val="00E67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34D"/>
    <w:pPr>
      <w:pageBreakBefore/>
    </w:pPr>
  </w:style>
  <w:style w:type="paragraph" w:customStyle="1" w:styleId="Border">
    <w:name w:val="Border"/>
    <w:basedOn w:val="Normal"/>
    <w:qFormat/>
    <w:rsid w:val="00E67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34D"/>
    <w:rPr>
      <w:u w:val="single"/>
    </w:rPr>
  </w:style>
  <w:style w:type="character" w:customStyle="1" w:styleId="BoldandItalics">
    <w:name w:val="Bold and Italics"/>
    <w:qFormat/>
    <w:rsid w:val="00E6734D"/>
    <w:rPr>
      <w:b/>
      <w:i/>
      <w:u w:val="none"/>
    </w:rPr>
  </w:style>
  <w:style w:type="paragraph" w:styleId="BalloonText">
    <w:name w:val="Balloon Text"/>
    <w:basedOn w:val="Normal"/>
    <w:link w:val="BalloonTextChar"/>
    <w:rsid w:val="00E67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34D"/>
    <w:pPr>
      <w:spacing w:before="0" w:after="0"/>
    </w:pPr>
  </w:style>
  <w:style w:type="paragraph" w:customStyle="1" w:styleId="BodyTextBold">
    <w:name w:val="Body Text Bold"/>
    <w:basedOn w:val="BodyText"/>
    <w:qFormat/>
    <w:rsid w:val="00E6734D"/>
    <w:rPr>
      <w:b/>
    </w:rPr>
  </w:style>
  <w:style w:type="character" w:styleId="Hyperlink">
    <w:name w:val="Hyperlink"/>
    <w:basedOn w:val="DefaultParagraphFont"/>
    <w:uiPriority w:val="99"/>
    <w:unhideWhenUsed/>
    <w:rsid w:val="00200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5221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RIIWSV303D Operate fluid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2020-07-08T05:35:00Z</dcterms:created>
  <dcterms:modified xsi:type="dcterms:W3CDTF">2020-07-08T05:35:00Z</dcterms:modified>
</cp:coreProperties>
</file>