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4B6" w:rsidP="00E944B6">
      <w:pPr>
        <w:pStyle w:val="Title"/>
      </w:pPr>
      <w:r>
        <w:fldChar w:fldCharType="begin"/>
      </w:r>
      <w:r>
        <w:instrText xml:space="preserve"> TITLE   \* MERGEFORMAT </w:instrText>
      </w:r>
      <w:r>
        <w:fldChar w:fldCharType="separate"/>
      </w:r>
      <w:r>
        <w:t>Assessment Requirements for RIIWSV203D Prepare equipment for well servicing air operations</w:t>
      </w:r>
      <w:r>
        <w:fldChar w:fldCharType="end"/>
      </w:r>
    </w:p>
    <w:p w:rsidR="00E944B6" w:rsidP="00E944B6">
      <w:pPr>
        <w:pStyle w:val="Version"/>
        <w:sectPr w:rsidSect="00C62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20E0" w:rsidP="00C620E0">
      <w:pPr>
        <w:pStyle w:val="SuperHeading"/>
      </w:pPr>
      <w:r w:rsidRPr="00C620E0">
        <w:t>Assessment Requirements for RIIWSV203D Prepare equipment for well servicing air operations</w:t>
      </w:r>
    </w:p>
    <w:p w:rsidR="00000000" w:rsidRPr="00C620E0" w:rsidP="00C620E0">
      <w:pPr>
        <w:pStyle w:val="Heading1"/>
      </w:pPr>
      <w:bookmarkStart w:id="1" w:name="O_680943"/>
      <w:bookmarkEnd w:id="1"/>
      <w:r w:rsidRPr="00C620E0">
        <w:t>Modification History</w:t>
      </w:r>
    </w:p>
    <w:tbl>
      <w:tblPr>
        <w:tblW w:w="0" w:type="auto"/>
        <w:tblCellMar>
          <w:left w:w="62" w:type="dxa"/>
          <w:right w:w="62" w:type="dxa"/>
        </w:tblCellMar>
        <w:tblLook w:val="0000"/>
      </w:tblPr>
      <w:tblGrid>
        <w:gridCol w:w="1107"/>
        <w:gridCol w:w="8089"/>
      </w:tblGrid>
      <w:tr w:rsidTr="00E944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Heading4"/>
              <w:rPr>
                <w:lang w:val="en-NZ"/>
              </w:rPr>
            </w:pPr>
            <w:r w:rsidRPr="00C620E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Heading4"/>
              <w:rPr>
                <w:lang w:val="en-NZ"/>
              </w:rPr>
            </w:pPr>
            <w:r w:rsidRPr="00C620E0">
              <w:t>Comment</w:t>
            </w:r>
          </w:p>
        </w:tc>
      </w:tr>
      <w:tr w:rsidTr="00E944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BodyText"/>
              <w:rPr>
                <w:lang w:val="en-NZ"/>
              </w:rPr>
            </w:pPr>
            <w:r w:rsidRPr="00C620E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BodyText"/>
              <w:rPr>
                <w:lang w:val="en-NZ"/>
              </w:rPr>
            </w:pPr>
            <w:r w:rsidRPr="00C620E0">
              <w:t>This is a new unit</w:t>
            </w:r>
          </w:p>
        </w:tc>
      </w:tr>
      <w:tr w:rsidTr="00E944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BodyText"/>
              <w:rPr>
                <w:lang w:val="en-NZ"/>
              </w:rPr>
            </w:pPr>
            <w:r w:rsidRPr="00C620E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BodyText"/>
              <w:rPr>
                <w:lang w:val="en-NZ"/>
              </w:rPr>
            </w:pPr>
            <w:r w:rsidRPr="00C620E0">
              <w:t>Editorial corrections</w:t>
            </w:r>
          </w:p>
        </w:tc>
      </w:tr>
      <w:tr w:rsidTr="00E944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E0">
            <w:pPr>
              <w:pStyle w:val="BodyText"/>
              <w:rPr>
                <w:lang w:val="en-NZ"/>
              </w:rPr>
            </w:pPr>
            <w:r w:rsidRPr="00C620E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0E0" w:rsidP="00C620E0">
            <w:pPr>
              <w:pStyle w:val="BodyText"/>
            </w:pPr>
            <w:r w:rsidRPr="00C620E0">
              <w:t>Required frequency and volume of evidence amended in Perfor</w:t>
            </w:r>
            <w:r w:rsidRPr="00C620E0">
              <w:t>mance evidence.</w:t>
            </w:r>
          </w:p>
          <w:p w:rsidR="00000000" w:rsidRPr="00C620E0" w:rsidP="00C620E0">
            <w:pPr>
              <w:pStyle w:val="BodyText"/>
            </w:pPr>
            <w:r w:rsidRPr="00C620E0">
              <w:t>Substantial amendments made in Assessment Conditions field, including: references to Industry Sectors, assessor and subject matter expert experience requirements, how assessment should be conducted and what it should confirm.</w:t>
            </w:r>
          </w:p>
        </w:tc>
      </w:tr>
    </w:tbl>
    <w:p w:rsidR="00000000" w:rsidRPr="00C620E0" w:rsidP="00C620E0">
      <w:pPr>
        <w:pStyle w:val="BodyText"/>
      </w:pPr>
    </w:p>
    <w:p w:rsidR="00000000" w:rsidRPr="00C620E0" w:rsidP="00C620E0">
      <w:pPr>
        <w:pStyle w:val="AllowPageBreak"/>
      </w:pPr>
    </w:p>
    <w:p w:rsidR="00000000" w:rsidRPr="00C620E0" w:rsidP="00C620E0">
      <w:pPr>
        <w:pStyle w:val="Heading1"/>
      </w:pPr>
      <w:bookmarkStart w:id="2" w:name="O_680942"/>
      <w:bookmarkEnd w:id="2"/>
      <w:r w:rsidRPr="00C620E0">
        <w:t>Performance Evidence</w:t>
      </w:r>
    </w:p>
    <w:p w:rsidR="00000000" w:rsidRPr="00C620E0" w:rsidP="00E944B6">
      <w:pPr>
        <w:pStyle w:val="BodyText"/>
      </w:pPr>
      <w:r w:rsidRPr="00C620E0">
        <w:t>Evidence is required to be collected that demonstrates a candidate’s competency in this unit. Evidence must be relevant to the roles within this sector’s work operations and satisfy all of the requirements of the performance crite</w:t>
      </w:r>
      <w:r w:rsidRPr="00C620E0">
        <w:t>ria of this unit and include evidence that the candidate:</w:t>
      </w:r>
    </w:p>
    <w:p w:rsidR="00000000" w:rsidRPr="00C620E0" w:rsidP="00C620E0">
      <w:pPr>
        <w:pStyle w:val="ListBullet"/>
      </w:pPr>
      <w:r w:rsidRPr="00C620E0">
        <w:t>locates and applies relevant documentation, policies and procedures</w:t>
      </w:r>
    </w:p>
    <w:p w:rsidR="00000000" w:rsidRPr="00C620E0" w:rsidP="00C620E0">
      <w:pPr>
        <w:pStyle w:val="ListBullet"/>
      </w:pPr>
      <w:r w:rsidRPr="00C620E0">
        <w:t>works effectively with others to undertake and complete preparation of equipment for well servicing air operations that meets all of the required outcomes including:</w:t>
      </w:r>
    </w:p>
    <w:p w:rsidR="00000000" w:rsidRPr="00C620E0" w:rsidP="00C620E0">
      <w:pPr>
        <w:pStyle w:val="ListBullet2"/>
      </w:pPr>
      <w:r w:rsidRPr="00C620E0">
        <w:t>complying with written and verbal reporting requirements and procedures</w:t>
      </w:r>
    </w:p>
    <w:p w:rsidR="00000000" w:rsidRPr="00C620E0" w:rsidP="00C620E0">
      <w:pPr>
        <w:pStyle w:val="ListBullet2"/>
      </w:pPr>
      <w:r w:rsidRPr="00C620E0">
        <w:t>communicating cle</w:t>
      </w:r>
      <w:r w:rsidRPr="00C620E0">
        <w:t>arly and concisely with others to receive and clarify work instructions</w:t>
      </w:r>
    </w:p>
    <w:p w:rsidR="00000000" w:rsidRPr="00C620E0" w:rsidP="00C620E0">
      <w:pPr>
        <w:pStyle w:val="ListBullet2"/>
      </w:pPr>
      <w:r w:rsidRPr="00C620E0">
        <w:t>communicating clearly and concisely with others to resolve coordination requirements throughout work activities</w:t>
      </w:r>
    </w:p>
    <w:p w:rsidR="00000000" w:rsidRPr="00C620E0" w:rsidP="00C620E0">
      <w:pPr>
        <w:pStyle w:val="ListBullet"/>
      </w:pPr>
      <w:r w:rsidRPr="00C620E0">
        <w:t>demonstrates completion of the preparation of equipment for well servic</w:t>
      </w:r>
      <w:r w:rsidRPr="00C620E0">
        <w:t>ing air operations that safely, effectively and efficiently meets all of the required outcomes on more than one (1) occasion including:</w:t>
      </w:r>
    </w:p>
    <w:p w:rsidR="00000000" w:rsidRPr="00C620E0" w:rsidP="00C620E0">
      <w:pPr>
        <w:pStyle w:val="ListBullet"/>
      </w:pPr>
      <w:r w:rsidRPr="00C620E0">
        <w:t>applies good housekeeping principles</w:t>
      </w:r>
    </w:p>
    <w:p w:rsidR="00000000" w:rsidRPr="00C620E0" w:rsidP="00C620E0">
      <w:pPr>
        <w:pStyle w:val="ListBullet2"/>
      </w:pPr>
      <w:r w:rsidRPr="00C620E0">
        <w:t>installs restraining devices to pressure and delivery hoses</w:t>
      </w:r>
    </w:p>
    <w:p w:rsidR="00000000" w:rsidRPr="00C620E0" w:rsidP="00C620E0">
      <w:pPr>
        <w:pStyle w:val="ListBullet2"/>
      </w:pPr>
      <w:r w:rsidRPr="00C620E0">
        <w:t>assisting in the assem</w:t>
      </w:r>
      <w:r w:rsidRPr="00C620E0">
        <w:t>bly the component for air operations</w:t>
      </w:r>
    </w:p>
    <w:p w:rsidR="00000000" w:rsidRPr="00C620E0" w:rsidP="00C620E0">
      <w:pPr>
        <w:pStyle w:val="ListBullet2"/>
      </w:pPr>
      <w:r w:rsidRPr="00C620E0">
        <w:t>starts up, fuels and maintains the air pack</w:t>
      </w:r>
    </w:p>
    <w:p w:rsidR="00000000" w:rsidRPr="00C620E0" w:rsidP="00C620E0">
      <w:pPr>
        <w:pStyle w:val="ListBullet2"/>
      </w:pPr>
      <w:r w:rsidRPr="00C620E0">
        <w:t>rigging up and securing the blooie line</w:t>
      </w:r>
    </w:p>
    <w:p w:rsidR="00000000" w:rsidRPr="00C620E0" w:rsidP="00C620E0">
      <w:pPr>
        <w:pStyle w:val="ListBullet2"/>
      </w:pPr>
      <w:r w:rsidRPr="00C620E0">
        <w:t>identifies and assists in the mixing of drilling fluids</w:t>
      </w:r>
    </w:p>
    <w:p w:rsidR="00000000" w:rsidRPr="00C620E0" w:rsidP="00C620E0">
      <w:pPr>
        <w:pStyle w:val="ListBullet2"/>
      </w:pPr>
      <w:r w:rsidRPr="00C620E0">
        <w:t>identifies and uses correct lubricants</w:t>
      </w:r>
    </w:p>
    <w:p w:rsidR="00000000" w:rsidRPr="00C620E0" w:rsidP="00C620E0">
      <w:pPr>
        <w:pStyle w:val="ListBullet2"/>
      </w:pPr>
      <w:r w:rsidRPr="00C620E0">
        <w:t>applies correct handling of samples</w:t>
      </w:r>
    </w:p>
    <w:p w:rsidR="00000000" w:rsidRPr="00C620E0" w:rsidP="00C620E0">
      <w:pPr>
        <w:pStyle w:val="ListBullet2"/>
      </w:pPr>
      <w:r w:rsidRPr="00C620E0">
        <w:t>disa</w:t>
      </w:r>
      <w:r w:rsidRPr="00C620E0">
        <w:t>ssembles, inspects and identifies drill bit and subs</w:t>
      </w:r>
    </w:p>
    <w:p w:rsidR="00000000" w:rsidRPr="00C620E0" w:rsidP="00C620E0">
      <w:pPr>
        <w:pStyle w:val="AllowPageBreak"/>
      </w:pPr>
    </w:p>
    <w:p w:rsidR="00000000" w:rsidRPr="00C620E0" w:rsidP="00C620E0">
      <w:pPr>
        <w:pStyle w:val="Heading1"/>
      </w:pPr>
      <w:bookmarkStart w:id="3" w:name="O_680941"/>
      <w:bookmarkEnd w:id="3"/>
      <w:r w:rsidRPr="00C620E0">
        <w:t>Knowledge Evidence</w:t>
      </w:r>
    </w:p>
    <w:p w:rsidR="00000000" w:rsidRPr="00C620E0" w:rsidP="00E944B6">
      <w:pPr>
        <w:pStyle w:val="BodyText"/>
      </w:pPr>
      <w:r w:rsidRPr="00C620E0">
        <w:t>The candidate must demonstrate knowledge of preparing equipment for well servicing air operations through:</w:t>
      </w:r>
    </w:p>
    <w:p w:rsidR="00000000" w:rsidRPr="00C620E0" w:rsidP="00C620E0">
      <w:pPr>
        <w:pStyle w:val="ListBullet"/>
      </w:pPr>
      <w:r w:rsidRPr="00C620E0">
        <w:t xml:space="preserve">accessing, interpreting and applying the organisation and site requirements and procedures </w:t>
      </w:r>
    </w:p>
    <w:p w:rsidR="00000000" w:rsidRPr="00C620E0" w:rsidP="00C620E0">
      <w:pPr>
        <w:pStyle w:val="ListBullet"/>
      </w:pPr>
      <w:r w:rsidRPr="00C620E0">
        <w:t xml:space="preserve">determining reasons for identification and care of samples </w:t>
      </w:r>
    </w:p>
    <w:p w:rsidR="00000000" w:rsidRPr="00C620E0" w:rsidP="00C620E0">
      <w:pPr>
        <w:pStyle w:val="ListBullet"/>
      </w:pPr>
      <w:r w:rsidRPr="00C620E0">
        <w:t>interpretation and use of safety data sheets (SDS)</w:t>
      </w:r>
    </w:p>
    <w:p w:rsidR="00000000" w:rsidRPr="00C620E0" w:rsidP="00C620E0">
      <w:pPr>
        <w:pStyle w:val="ListBullet"/>
      </w:pPr>
      <w:r w:rsidRPr="00C620E0">
        <w:t>basic operation of compressors and the need for clean</w:t>
      </w:r>
      <w:r w:rsidRPr="00C620E0">
        <w:t>liness when carrying out compressor maintenance</w:t>
      </w:r>
    </w:p>
    <w:p w:rsidR="00000000" w:rsidRPr="00C620E0" w:rsidP="00C620E0">
      <w:pPr>
        <w:pStyle w:val="ListBullet"/>
      </w:pPr>
      <w:r w:rsidRPr="00C620E0">
        <w:t>knowledge of the critical need to match threads with threads on tubular components</w:t>
      </w:r>
    </w:p>
    <w:p w:rsidR="00000000" w:rsidRPr="00C620E0" w:rsidP="00C620E0">
      <w:pPr>
        <w:pStyle w:val="ListBullet"/>
      </w:pPr>
      <w:r w:rsidRPr="00C620E0">
        <w:t>carrying out drilling operational requirements and procedures</w:t>
      </w:r>
    </w:p>
    <w:p w:rsidR="00000000" w:rsidRPr="00C620E0" w:rsidP="00C620E0">
      <w:pPr>
        <w:pStyle w:val="ListBullet"/>
      </w:pPr>
      <w:r w:rsidRPr="00C620E0">
        <w:t>monitoring of sample quality to restrict contamination</w:t>
      </w:r>
    </w:p>
    <w:p w:rsidR="00000000" w:rsidRPr="00C620E0" w:rsidP="00C620E0">
      <w:pPr>
        <w:pStyle w:val="ListBullet"/>
      </w:pPr>
      <w:r w:rsidRPr="00C620E0">
        <w:t>knowledg</w:t>
      </w:r>
      <w:r w:rsidRPr="00C620E0">
        <w:t>e of the importance of correct measurement of bits and other related components</w:t>
      </w:r>
    </w:p>
    <w:p w:rsidR="00000000" w:rsidRPr="00C620E0" w:rsidP="00C620E0">
      <w:pPr>
        <w:pStyle w:val="ListBullet"/>
      </w:pPr>
      <w:r w:rsidRPr="00C620E0">
        <w:t>methods for clearing blockages in air or rotary holes</w:t>
      </w:r>
    </w:p>
    <w:p w:rsidR="00000000" w:rsidRPr="00C620E0" w:rsidP="00C620E0">
      <w:pPr>
        <w:pStyle w:val="ListBullet"/>
      </w:pPr>
      <w:r w:rsidRPr="00C620E0">
        <w:t>methods of clearing blocked sample and delivery hoses</w:t>
      </w:r>
    </w:p>
    <w:p w:rsidR="00000000" w:rsidRPr="00C620E0" w:rsidP="00C620E0">
      <w:pPr>
        <w:pStyle w:val="ListBullet"/>
      </w:pPr>
      <w:r w:rsidRPr="00C620E0">
        <w:t>knowledge of the requirement of restraining devices on all high pres</w:t>
      </w:r>
      <w:r w:rsidRPr="00C620E0">
        <w:t>sure and delivery hoses</w:t>
      </w:r>
    </w:p>
    <w:p w:rsidR="00000000" w:rsidRPr="00C620E0" w:rsidP="00C620E0">
      <w:pPr>
        <w:pStyle w:val="ListBullet"/>
      </w:pPr>
      <w:r w:rsidRPr="00C620E0">
        <w:t>identifying potential hazards with the operation of rod handling devices</w:t>
      </w:r>
    </w:p>
    <w:p w:rsidR="00000000" w:rsidRPr="00C620E0" w:rsidP="00C620E0">
      <w:pPr>
        <w:pStyle w:val="AllowPageBreak"/>
      </w:pPr>
    </w:p>
    <w:p w:rsidR="00000000" w:rsidRPr="00C620E0" w:rsidP="00C620E0">
      <w:pPr>
        <w:pStyle w:val="Heading1"/>
      </w:pPr>
      <w:bookmarkStart w:id="4" w:name="O_680940"/>
      <w:bookmarkEnd w:id="4"/>
      <w:r w:rsidRPr="00C620E0">
        <w:t>Assessment Conditions</w:t>
      </w:r>
    </w:p>
    <w:p w:rsidR="00000000" w:rsidRPr="00C620E0" w:rsidP="00C620E0">
      <w:pPr>
        <w:pStyle w:val="ListBullet"/>
      </w:pPr>
      <w:r w:rsidRPr="00C620E0">
        <w:t>An assessor of this unit must satisfy the requirements of the NVR/AQTF or their successors; and Industry regulations fo</w:t>
      </w:r>
      <w:r w:rsidRPr="00C620E0">
        <w:t xml:space="preserve">r certification and licensing; and, </w:t>
      </w:r>
    </w:p>
    <w:p w:rsidR="00000000" w:rsidRPr="00C620E0" w:rsidP="00C620E0">
      <w:pPr>
        <w:pStyle w:val="ListBullet"/>
      </w:pPr>
      <w:r w:rsidRPr="00C620E0">
        <w:t>this unit is best assessed in the context of this sector’s work environment;</w:t>
      </w:r>
    </w:p>
    <w:p w:rsidR="00000000" w:rsidRPr="00C620E0" w:rsidP="00C620E0">
      <w:pPr>
        <w:pStyle w:val="ListBullet"/>
      </w:pPr>
      <w:r w:rsidRPr="00C620E0">
        <w:t>where personal safety or environmental damage are limiting factors, assessment may occur in a simulated environment provided it is realistic a</w:t>
      </w:r>
      <w:r w:rsidRPr="00C620E0">
        <w:t>nd sufficiently rigorous to cover all aspects of this sector’s workplace performance, including environment, task skills, task management skills, contingency management skills and job role environment skills; and,</w:t>
      </w:r>
    </w:p>
    <w:p w:rsidR="00000000" w:rsidRPr="00C620E0" w:rsidP="00C620E0">
      <w:pPr>
        <w:pStyle w:val="ListBullet"/>
      </w:pPr>
      <w:r w:rsidRPr="00C620E0">
        <w:t>this unit must be assessed in compliance w</w:t>
      </w:r>
      <w:r w:rsidRPr="00C620E0">
        <w:t>ith relevant legislation/regulation and using policies, procedures, processes and operational manuals directly related to the industry sector for which it is being assessed; and,</w:t>
      </w:r>
    </w:p>
    <w:p w:rsidR="00000000" w:rsidRPr="00C620E0" w:rsidP="00C620E0">
      <w:pPr>
        <w:pStyle w:val="ListBullet"/>
      </w:pPr>
      <w:r w:rsidRPr="00C620E0">
        <w:t>assessment may be conducted in conjunction with the assessment of other Units</w:t>
      </w:r>
      <w:r w:rsidRPr="00C620E0">
        <w:t xml:space="preserve"> of Competency; and,</w:t>
      </w:r>
    </w:p>
    <w:p w:rsidR="00000000" w:rsidRPr="00C620E0" w:rsidP="00C620E0">
      <w:pPr>
        <w:pStyle w:val="ListBullet"/>
      </w:pPr>
      <w:r w:rsidRPr="00C620E0">
        <w:t>assessment must confirm consistent performance can be applied in a range of relevant workplace circumstances; and,</w:t>
      </w:r>
    </w:p>
    <w:p w:rsidR="00000000" w:rsidRPr="00C620E0" w:rsidP="00C620E0">
      <w:pPr>
        <w:pStyle w:val="ListBullet"/>
      </w:pPr>
      <w:r w:rsidRPr="00C620E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620E0" w:rsidP="00C620E0">
      <w:pPr>
        <w:pStyle w:val="ListBullet"/>
      </w:pPr>
      <w:r w:rsidRPr="00C620E0">
        <w:t>wh</w:t>
      </w:r>
      <w:r w:rsidRPr="00C620E0">
        <w:t>ere the assessor does not meet experience requirements a co-assessment or partnership arrangement must exist between the qualified assessor and an Industry subject matter expert. The Industry subject matter expert should hold the unit being assessed (or an</w:t>
      </w:r>
      <w:r w:rsidRPr="00C620E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620E0">
        <w:t>cluding time spent in roles related to the unit being assessed; and,</w:t>
      </w:r>
    </w:p>
    <w:p w:rsidR="00000000" w:rsidRPr="00C620E0" w:rsidP="00C620E0">
      <w:pPr>
        <w:pStyle w:val="ListBullet"/>
      </w:pPr>
      <w:r w:rsidRPr="00C620E0">
        <w:t>assessor and Industry subject matter expert requirements differ depending on the Australian Qualifications Framework Level (AQF) of the qualification being assessed and/or Industry Sector</w:t>
      </w:r>
      <w:r w:rsidRPr="00C620E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62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SubHeading1"/>
              <w:rPr>
                <w:lang w:val="en-NZ"/>
              </w:rPr>
            </w:pPr>
            <w:r w:rsidRPr="00C620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SubHeading1"/>
              <w:rPr>
                <w:lang w:val="en-NZ"/>
              </w:rPr>
            </w:pPr>
            <w:r w:rsidRPr="00C620E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SubHeading1"/>
              <w:rPr>
                <w:lang w:val="en-NZ"/>
              </w:rPr>
            </w:pPr>
            <w:r w:rsidRPr="00C620E0">
              <w:t>Required assessor or Industry subject matter expert experience</w:t>
            </w:r>
          </w:p>
        </w:tc>
      </w:tr>
      <w:tr w:rsidTr="00C620E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1 Year</w:t>
            </w:r>
          </w:p>
        </w:tc>
      </w:tr>
      <w:tr w:rsidTr="00C620E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2 Years</w:t>
            </w:r>
          </w:p>
        </w:tc>
      </w:tr>
      <w:tr w:rsidTr="00C62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Drilling, Coal Mining</w:t>
            </w:r>
            <w:r w:rsidRPr="00C620E0">
              <w:t xml:space="preserve">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3 Years</w:t>
            </w:r>
          </w:p>
        </w:tc>
      </w:tr>
      <w:tr w:rsidTr="00C62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5 Years</w:t>
            </w:r>
          </w:p>
        </w:tc>
      </w:tr>
      <w:tr w:rsidTr="00C620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0E0">
            <w:pPr>
              <w:pStyle w:val="BodyText"/>
              <w:rPr>
                <w:lang w:val="en-NZ"/>
              </w:rPr>
            </w:pPr>
            <w:r w:rsidRPr="00C620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20E0" w:rsidP="00C620E0">
            <w:pPr>
              <w:pStyle w:val="BodyText"/>
            </w:pPr>
            <w:r w:rsidRPr="00C620E0">
              <w:t>W</w:t>
            </w:r>
            <w:r w:rsidRPr="00C620E0">
              <w:t>here this Unit is being assessed outside of the Resources and Infrastructure Sectors assessor and/or Industry subject matter expert experience should be in-line with industry standards for the sector in which it is being assessed and where no Industry stan</w:t>
            </w:r>
            <w:r w:rsidRPr="00C620E0">
              <w:t>dard is specified should comply with any relevant regulation.</w:t>
            </w:r>
          </w:p>
        </w:tc>
      </w:tr>
    </w:tbl>
    <w:p w:rsidR="00000000" w:rsidRPr="00C620E0" w:rsidP="00E944B6">
      <w:pPr>
        <w:pStyle w:val="BodyText"/>
      </w:pPr>
      <w:r w:rsidRPr="00C620E0">
        <w:t>*Assessors can demonstrate current work experience through employment within Industry in a role relevant to the outcomes of the Unit; or, for external assessors this can be demonstrated throug</w:t>
      </w:r>
      <w:r w:rsidRPr="00C620E0">
        <w:t>h exposure to Industry by conducting frequent site assessments across various locations.</w:t>
      </w:r>
    </w:p>
    <w:p w:rsidR="00000000" w:rsidRPr="00C620E0" w:rsidP="00E944B6">
      <w:pPr>
        <w:pStyle w:val="BodyText"/>
      </w:pPr>
      <w:r w:rsidRPr="00C620E0">
        <w:t>**Where a unit is being delivered outside of a Qualification the first numeric character in the Unit code should be considered to indicate the AQF level</w:t>
      </w:r>
    </w:p>
    <w:p w:rsidR="00000000" w:rsidRPr="00C620E0" w:rsidP="00C620E0">
      <w:pPr>
        <w:pStyle w:val="Heading1"/>
      </w:pPr>
      <w:bookmarkStart w:id="5" w:name="O_680951"/>
      <w:bookmarkEnd w:id="5"/>
      <w:r w:rsidRPr="00C620E0">
        <w:t>Links</w:t>
      </w:r>
    </w:p>
    <w:p w:rsidR="00000000" w:rsidRPr="00C620E0" w:rsidP="00E944B6">
      <w:pPr>
        <w:pStyle w:val="BodyText"/>
      </w:pPr>
      <w:r w:rsidRPr="00C620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05436">
        <w:rPr>
          <w:rStyle w:val="Hyperlink"/>
        </w:rPr>
        <w:t>https://vetnet.gov.au/Pages/TrainingDocs.aspx?q=88a61002-9a21-4386-aaf8-69c76e675272</w:t>
      </w:r>
      <w:r>
        <w:fldChar w:fldCharType="end"/>
      </w:r>
    </w:p>
    <w:p w:rsidR="00000000" w:rsidRPr="00C620E0" w:rsidP="00C620E0"/>
    <w:sectPr w:rsidSect="00C62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E0" w:rsidRPr="00E944B6" w:rsidP="00E94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B6" w:rsidP="00C62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4B6" w:rsidP="00C620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944B6" w:rsidP="00C62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0E0" w:rsidRPr="00E944B6" w:rsidP="00E94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B6" w:rsidRPr="002D2AF8" w:rsidP="00C620E0">
    <w:pPr>
      <w:pStyle w:val="Header"/>
      <w:framePr w:wrap="around"/>
    </w:pPr>
    <w:r>
      <w:fldChar w:fldCharType="begin"/>
    </w:r>
    <w:r>
      <w:instrText xml:space="preserve"> TITLE   \* MERGEFORMAT </w:instrText>
    </w:r>
    <w:r>
      <w:fldChar w:fldCharType="separate"/>
    </w:r>
    <w:r>
      <w:t>Assessment Requirements for RIIWSV203D Prepare equipment for well servicing 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944B6" w:rsidP="00C62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CD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23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AD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0E0"/>
    <w:pPr>
      <w:spacing w:before="360" w:after="60"/>
      <w:outlineLvl w:val="0"/>
    </w:pPr>
    <w:rPr>
      <w:sz w:val="32"/>
    </w:rPr>
  </w:style>
  <w:style w:type="paragraph" w:styleId="Heading2">
    <w:name w:val="heading 2"/>
    <w:basedOn w:val="HeadingBase"/>
    <w:next w:val="BodyText"/>
    <w:link w:val="Heading2Char"/>
    <w:qFormat/>
    <w:rsid w:val="00C620E0"/>
    <w:pPr>
      <w:keepLines/>
      <w:spacing w:before="240" w:after="120"/>
      <w:outlineLvl w:val="1"/>
    </w:pPr>
    <w:rPr>
      <w:sz w:val="28"/>
      <w:szCs w:val="40"/>
    </w:rPr>
  </w:style>
  <w:style w:type="paragraph" w:styleId="Heading3">
    <w:name w:val="heading 3"/>
    <w:basedOn w:val="HeadingBase"/>
    <w:next w:val="BodyText"/>
    <w:link w:val="Heading3Char"/>
    <w:qFormat/>
    <w:rsid w:val="00C620E0"/>
    <w:pPr>
      <w:spacing w:before="180" w:after="120"/>
      <w:outlineLvl w:val="2"/>
    </w:pPr>
    <w:rPr>
      <w:spacing w:val="-10"/>
      <w:kern w:val="32"/>
    </w:rPr>
  </w:style>
  <w:style w:type="paragraph" w:styleId="Heading4">
    <w:name w:val="heading 4"/>
    <w:basedOn w:val="HeadingBase"/>
    <w:next w:val="BodyText"/>
    <w:link w:val="Heading4Char"/>
    <w:qFormat/>
    <w:rsid w:val="00C620E0"/>
    <w:pPr>
      <w:spacing w:before="160" w:after="120"/>
      <w:outlineLvl w:val="3"/>
    </w:pPr>
    <w:rPr>
      <w:sz w:val="22"/>
    </w:rPr>
  </w:style>
  <w:style w:type="paragraph" w:styleId="Heading5">
    <w:name w:val="heading 5"/>
    <w:basedOn w:val="HeadingBase"/>
    <w:next w:val="Normal"/>
    <w:link w:val="Heading5Char"/>
    <w:qFormat/>
    <w:rsid w:val="00C620E0"/>
    <w:pPr>
      <w:spacing w:before="80"/>
      <w:outlineLvl w:val="4"/>
    </w:pPr>
    <w:rPr>
      <w:color w:val="918585"/>
      <w:sz w:val="20"/>
    </w:rPr>
  </w:style>
  <w:style w:type="paragraph" w:styleId="Heading6">
    <w:name w:val="heading 6"/>
    <w:basedOn w:val="HeadingBase"/>
    <w:next w:val="Normal"/>
    <w:link w:val="Heading6Char"/>
    <w:qFormat/>
    <w:rsid w:val="00C620E0"/>
    <w:pPr>
      <w:spacing w:before="60"/>
      <w:outlineLvl w:val="5"/>
    </w:pPr>
    <w:rPr>
      <w:color w:val="918585"/>
      <w:sz w:val="20"/>
    </w:rPr>
  </w:style>
  <w:style w:type="paragraph" w:styleId="Heading7">
    <w:name w:val="heading 7"/>
    <w:basedOn w:val="Normal"/>
    <w:next w:val="Normal"/>
    <w:link w:val="Heading7Char"/>
    <w:qFormat/>
    <w:rsid w:val="00C620E0"/>
    <w:pPr>
      <w:ind w:left="720"/>
      <w:outlineLvl w:val="6"/>
    </w:pPr>
    <w:rPr>
      <w:i/>
    </w:rPr>
  </w:style>
  <w:style w:type="paragraph" w:styleId="Heading8">
    <w:name w:val="heading 8"/>
    <w:basedOn w:val="Normal"/>
    <w:next w:val="Normal"/>
    <w:link w:val="Heading8Char"/>
    <w:qFormat/>
    <w:rsid w:val="00C620E0"/>
    <w:pPr>
      <w:ind w:left="720"/>
      <w:outlineLvl w:val="7"/>
    </w:pPr>
    <w:rPr>
      <w:i/>
    </w:rPr>
  </w:style>
  <w:style w:type="paragraph" w:styleId="Heading9">
    <w:name w:val="heading 9"/>
    <w:basedOn w:val="Normal"/>
    <w:next w:val="Normal"/>
    <w:link w:val="Heading9Char"/>
    <w:qFormat/>
    <w:rsid w:val="00C620E0"/>
    <w:pPr>
      <w:ind w:left="720"/>
      <w:outlineLvl w:val="8"/>
    </w:pPr>
    <w:rPr>
      <w:i/>
    </w:rPr>
  </w:style>
  <w:style w:type="character" w:default="1" w:styleId="DefaultParagraphFont">
    <w:name w:val="Default Paragraph Font"/>
    <w:uiPriority w:val="1"/>
    <w:unhideWhenUsed/>
    <w:rsid w:val="00C62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0E0"/>
  </w:style>
  <w:style w:type="character" w:customStyle="1" w:styleId="Heading1Char">
    <w:name w:val="Heading 1 Char"/>
    <w:basedOn w:val="DefaultParagraphFont"/>
    <w:link w:val="Heading1"/>
    <w:rsid w:val="00C620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20E0"/>
    <w:rPr>
      <w:rFonts w:ascii="Times New Roman" w:eastAsia="Times New Roman" w:hAnsi="Times New Roman" w:cs="Times New Roman"/>
      <w:b/>
      <w:szCs w:val="20"/>
      <w:lang w:eastAsia="en-US"/>
    </w:rPr>
  </w:style>
  <w:style w:type="paragraph" w:styleId="BodyText">
    <w:name w:val="Body Text"/>
    <w:basedOn w:val="Normal"/>
    <w:link w:val="BodyTextChar"/>
    <w:rsid w:val="00C62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0E0"/>
    <w:rPr>
      <w:rFonts w:ascii="Times New Roman" w:eastAsia="Times New Roman" w:hAnsi="Times New Roman" w:cs="Times New Roman"/>
      <w:sz w:val="24"/>
      <w:lang w:eastAsia="en-US"/>
    </w:rPr>
  </w:style>
  <w:style w:type="paragraph" w:styleId="ListBullet">
    <w:name w:val="List Bullet"/>
    <w:basedOn w:val="List"/>
    <w:rsid w:val="00C620E0"/>
    <w:pPr>
      <w:numPr>
        <w:numId w:val="12"/>
      </w:numPr>
      <w:tabs>
        <w:tab w:val="clear" w:pos="340"/>
      </w:tabs>
      <w:spacing w:before="40" w:after="40"/>
    </w:pPr>
  </w:style>
  <w:style w:type="paragraph" w:styleId="ListBullet2">
    <w:name w:val="List Bullet 2"/>
    <w:basedOn w:val="List2"/>
    <w:rsid w:val="00C620E0"/>
    <w:pPr>
      <w:numPr>
        <w:numId w:val="13"/>
      </w:numPr>
      <w:tabs>
        <w:tab w:val="clear" w:pos="680"/>
      </w:tabs>
    </w:pPr>
  </w:style>
  <w:style w:type="paragraph" w:customStyle="1" w:styleId="SuperHeading">
    <w:name w:val="SuperHeading"/>
    <w:basedOn w:val="Normal"/>
    <w:rsid w:val="00C620E0"/>
    <w:pPr>
      <w:spacing w:before="240" w:after="120"/>
      <w:outlineLvl w:val="0"/>
    </w:pPr>
    <w:rPr>
      <w:rFonts w:ascii="Times New Roman" w:hAnsi="Times New Roman"/>
      <w:b/>
      <w:sz w:val="32"/>
    </w:rPr>
  </w:style>
  <w:style w:type="paragraph" w:customStyle="1" w:styleId="AllowPageBreak">
    <w:name w:val="AllowPageBreak"/>
    <w:rsid w:val="00C620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620E0"/>
    <w:pPr>
      <w:spacing w:before="240" w:after="60"/>
    </w:pPr>
    <w:rPr>
      <w:color w:val="918585"/>
      <w:sz w:val="22"/>
    </w:rPr>
  </w:style>
  <w:style w:type="character" w:customStyle="1" w:styleId="Heading2Char">
    <w:name w:val="Heading 2 Char"/>
    <w:basedOn w:val="DefaultParagraphFont"/>
    <w:link w:val="Heading2"/>
    <w:rsid w:val="00C62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0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2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0E0"/>
    <w:rPr>
      <w:rFonts w:ascii="Courier New" w:eastAsia="Times New Roman" w:hAnsi="Courier New" w:cs="Times New Roman"/>
      <w:i/>
      <w:szCs w:val="20"/>
      <w:lang w:eastAsia="en-US"/>
    </w:rPr>
  </w:style>
  <w:style w:type="paragraph" w:customStyle="1" w:styleId="HeadingBase">
    <w:name w:val="Heading Base"/>
    <w:rsid w:val="00C62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0E0"/>
    <w:pPr>
      <w:tabs>
        <w:tab w:val="right" w:leader="dot" w:pos="9072"/>
      </w:tabs>
      <w:ind w:left="567"/>
    </w:pPr>
    <w:rPr>
      <w:szCs w:val="22"/>
    </w:rPr>
  </w:style>
  <w:style w:type="paragraph" w:customStyle="1" w:styleId="TOCBase">
    <w:name w:val="TOC Base"/>
    <w:rsid w:val="00C62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0E0"/>
    <w:pPr>
      <w:tabs>
        <w:tab w:val="right" w:leader="dot" w:pos="9072"/>
      </w:tabs>
      <w:spacing w:before="40" w:after="40"/>
      <w:ind w:left="284"/>
    </w:pPr>
    <w:rPr>
      <w:rFonts w:ascii="Times New Roman" w:hAnsi="Times New Roman"/>
    </w:rPr>
  </w:style>
  <w:style w:type="paragraph" w:styleId="TOC1">
    <w:name w:val="toc 1"/>
    <w:basedOn w:val="TOCBase"/>
    <w:next w:val="Normal"/>
    <w:rsid w:val="00C62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0E0"/>
    <w:rPr>
      <w:rFonts w:ascii="Times New Roman" w:eastAsia="Times New Roman" w:hAnsi="Times New Roman" w:cs="Times New Roman"/>
      <w:sz w:val="16"/>
      <w:lang w:eastAsia="en-US"/>
    </w:rPr>
  </w:style>
  <w:style w:type="paragraph" w:styleId="Title">
    <w:name w:val="Title"/>
    <w:basedOn w:val="HeadingBase"/>
    <w:link w:val="TitleChar"/>
    <w:qFormat/>
    <w:rsid w:val="00C620E0"/>
    <w:pPr>
      <w:spacing w:before="5040"/>
      <w:jc w:val="center"/>
    </w:pPr>
    <w:rPr>
      <w:sz w:val="48"/>
      <w:szCs w:val="72"/>
      <w:lang w:val="en-US"/>
    </w:rPr>
  </w:style>
  <w:style w:type="character" w:customStyle="1" w:styleId="TitleChar">
    <w:name w:val="Title Char"/>
    <w:basedOn w:val="DefaultParagraphFont"/>
    <w:link w:val="Title"/>
    <w:rsid w:val="00C62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0E0"/>
    <w:pPr>
      <w:tabs>
        <w:tab w:val="left" w:pos="3600"/>
        <w:tab w:val="left" w:pos="3958"/>
      </w:tabs>
    </w:pPr>
  </w:style>
  <w:style w:type="paragraph" w:styleId="List">
    <w:name w:val="List"/>
    <w:basedOn w:val="BodyText"/>
    <w:next w:val="BodyText"/>
    <w:rsid w:val="00C620E0"/>
    <w:pPr>
      <w:tabs>
        <w:tab w:val="left" w:pos="340"/>
      </w:tabs>
      <w:spacing w:before="60" w:after="60"/>
      <w:ind w:left="340" w:hanging="340"/>
    </w:pPr>
  </w:style>
  <w:style w:type="paragraph" w:customStyle="1" w:styleId="Note">
    <w:name w:val="Note"/>
    <w:basedOn w:val="BodyText"/>
    <w:rsid w:val="00C620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20E0"/>
    <w:rPr>
      <w:b/>
      <w:spacing w:val="0"/>
    </w:rPr>
  </w:style>
  <w:style w:type="paragraph" w:customStyle="1" w:styleId="SuperTitle">
    <w:name w:val="SuperTitle"/>
    <w:basedOn w:val="Title"/>
    <w:rsid w:val="00C620E0"/>
    <w:pPr>
      <w:framePr w:wrap="auto" w:hAnchor="text" w:y="6049"/>
    </w:pPr>
    <w:rPr>
      <w:color w:val="000000"/>
      <w:sz w:val="40"/>
    </w:rPr>
  </w:style>
  <w:style w:type="paragraph" w:customStyle="1" w:styleId="TOCTitle">
    <w:name w:val="TOCTitle"/>
    <w:basedOn w:val="Heading1"/>
    <w:rsid w:val="00C620E0"/>
    <w:pPr>
      <w:spacing w:after="240"/>
      <w:jc w:val="center"/>
      <w:outlineLvl w:val="9"/>
    </w:pPr>
    <w:rPr>
      <w:caps/>
    </w:rPr>
  </w:style>
  <w:style w:type="paragraph" w:customStyle="1" w:styleId="Version">
    <w:name w:val="Version"/>
    <w:rsid w:val="00C62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0E0"/>
    <w:pPr>
      <w:keepNext w:val="0"/>
      <w:tabs>
        <w:tab w:val="right" w:pos="4176"/>
      </w:tabs>
      <w:ind w:left="198" w:hanging="198"/>
    </w:pPr>
    <w:rPr>
      <w:rFonts w:ascii="Garamond" w:hAnsi="Garamond"/>
    </w:rPr>
  </w:style>
  <w:style w:type="paragraph" w:styleId="IndexHeading">
    <w:name w:val="index heading"/>
    <w:basedOn w:val="Normal"/>
    <w:next w:val="Index1"/>
    <w:semiHidden/>
    <w:rsid w:val="00C620E0"/>
    <w:pPr>
      <w:spacing w:before="120" w:after="120"/>
    </w:pPr>
    <w:rPr>
      <w:rFonts w:ascii="Arial" w:hAnsi="Arial"/>
      <w:b/>
      <w:color w:val="918585"/>
      <w:sz w:val="24"/>
    </w:rPr>
  </w:style>
  <w:style w:type="paragraph" w:styleId="Header">
    <w:name w:val="header"/>
    <w:basedOn w:val="Normal"/>
    <w:link w:val="HeaderChar"/>
    <w:rsid w:val="00C62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0E0"/>
    <w:rPr>
      <w:rFonts w:ascii="Times New Roman" w:eastAsia="Times New Roman" w:hAnsi="Times New Roman" w:cs="Times New Roman"/>
      <w:sz w:val="16"/>
      <w:szCs w:val="20"/>
      <w:lang w:val="en-GB" w:eastAsia="en-US"/>
    </w:rPr>
  </w:style>
  <w:style w:type="paragraph" w:customStyle="1" w:styleId="Chapter">
    <w:name w:val="Chapter"/>
    <w:basedOn w:val="Normal"/>
    <w:rsid w:val="00C620E0"/>
    <w:pPr>
      <w:spacing w:before="240"/>
    </w:pPr>
    <w:rPr>
      <w:rFonts w:ascii="Times New Roman" w:hAnsi="Times New Roman"/>
      <w:smallCaps/>
      <w:spacing w:val="80"/>
      <w:sz w:val="28"/>
    </w:rPr>
  </w:style>
  <w:style w:type="paragraph" w:customStyle="1" w:styleId="InChapter">
    <w:name w:val="InChapter"/>
    <w:basedOn w:val="Heading3"/>
    <w:rsid w:val="00C620E0"/>
    <w:pPr>
      <w:spacing w:after="240"/>
      <w:outlineLvl w:val="9"/>
    </w:pPr>
    <w:rPr>
      <w:noProof/>
    </w:rPr>
  </w:style>
  <w:style w:type="paragraph" w:styleId="Index2">
    <w:name w:val="index 2"/>
    <w:basedOn w:val="Normal"/>
    <w:next w:val="Normal"/>
    <w:semiHidden/>
    <w:rsid w:val="00C620E0"/>
    <w:pPr>
      <w:tabs>
        <w:tab w:val="right" w:pos="4176"/>
      </w:tabs>
      <w:ind w:left="568" w:hanging="284"/>
    </w:pPr>
    <w:rPr>
      <w:rFonts w:ascii="Garamond" w:hAnsi="Garamond"/>
    </w:rPr>
  </w:style>
  <w:style w:type="paragraph" w:customStyle="1" w:styleId="Byline">
    <w:name w:val="Byline"/>
    <w:rsid w:val="00C62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0E0"/>
    <w:pPr>
      <w:tabs>
        <w:tab w:val="clear" w:pos="3600"/>
        <w:tab w:val="clear" w:pos="3958"/>
      </w:tabs>
      <w:jc w:val="right"/>
    </w:pPr>
  </w:style>
  <w:style w:type="character" w:styleId="Emphasis">
    <w:name w:val="Emphasis"/>
    <w:basedOn w:val="DefaultParagraphFont"/>
    <w:qFormat/>
    <w:rsid w:val="00C620E0"/>
    <w:rPr>
      <w:i/>
    </w:rPr>
  </w:style>
  <w:style w:type="paragraph" w:styleId="Caption">
    <w:name w:val="caption"/>
    <w:basedOn w:val="BodyText"/>
    <w:next w:val="Normal"/>
    <w:qFormat/>
    <w:rsid w:val="00C620E0"/>
    <w:pPr>
      <w:framePr w:w="2268" w:hSpace="181" w:vSpace="181" w:wrap="around" w:vAnchor="text" w:hAnchor="page" w:x="1135" w:y="285" w:anchorLock="1"/>
    </w:pPr>
    <w:rPr>
      <w:i/>
    </w:rPr>
  </w:style>
  <w:style w:type="paragraph" w:customStyle="1" w:styleId="MiniTOCTitle">
    <w:name w:val="MiniTOCTitle"/>
    <w:basedOn w:val="Heading4"/>
    <w:rsid w:val="00C620E0"/>
    <w:pPr>
      <w:spacing w:before="240"/>
      <w:outlineLvl w:val="9"/>
    </w:pPr>
    <w:rPr>
      <w:noProof/>
      <w:sz w:val="24"/>
    </w:rPr>
  </w:style>
  <w:style w:type="paragraph" w:customStyle="1" w:styleId="MiniTOCItem">
    <w:name w:val="MiniTOCItem"/>
    <w:basedOn w:val="ListBullet"/>
    <w:rsid w:val="00C620E0"/>
    <w:pPr>
      <w:numPr>
        <w:numId w:val="0"/>
      </w:numPr>
      <w:tabs>
        <w:tab w:val="right" w:leader="dot" w:pos="6521"/>
      </w:tabs>
      <w:spacing w:before="0" w:after="0"/>
    </w:pPr>
  </w:style>
  <w:style w:type="paragraph" w:customStyle="1" w:styleId="TOFTitle">
    <w:name w:val="TOFTitle"/>
    <w:basedOn w:val="TOCTitle"/>
    <w:rsid w:val="00C620E0"/>
  </w:style>
  <w:style w:type="paragraph" w:styleId="TableofFigures">
    <w:name w:val="table of figures"/>
    <w:basedOn w:val="Normal"/>
    <w:next w:val="Normal"/>
    <w:semiHidden/>
    <w:rsid w:val="00C620E0"/>
    <w:pPr>
      <w:tabs>
        <w:tab w:val="right" w:leader="dot" w:pos="9072"/>
      </w:tabs>
      <w:ind w:left="970" w:hanging="403"/>
    </w:pPr>
    <w:rPr>
      <w:rFonts w:ascii="Times New Roman" w:hAnsi="Times New Roman"/>
      <w:b/>
    </w:rPr>
  </w:style>
  <w:style w:type="paragraph" w:styleId="ListNumber">
    <w:name w:val="List Number"/>
    <w:basedOn w:val="List"/>
    <w:rsid w:val="00C620E0"/>
    <w:pPr>
      <w:numPr>
        <w:numId w:val="15"/>
      </w:numPr>
      <w:tabs>
        <w:tab w:val="clear" w:pos="340"/>
      </w:tabs>
    </w:pPr>
  </w:style>
  <w:style w:type="character" w:customStyle="1" w:styleId="WingdingSymbols">
    <w:name w:val="Wingding Symbols"/>
    <w:rsid w:val="00C620E0"/>
    <w:rPr>
      <w:rFonts w:ascii="Wingdings" w:hAnsi="Wingdings"/>
    </w:rPr>
  </w:style>
  <w:style w:type="paragraph" w:customStyle="1" w:styleId="TableHeading">
    <w:name w:val="Table Heading"/>
    <w:basedOn w:val="HeadingBase"/>
    <w:rsid w:val="00C620E0"/>
    <w:pPr>
      <w:keepLines/>
      <w:pBdr>
        <w:bottom w:val="single" w:sz="6" w:space="1" w:color="918585"/>
      </w:pBdr>
      <w:spacing w:before="240"/>
    </w:pPr>
  </w:style>
  <w:style w:type="character" w:customStyle="1" w:styleId="HotSpot">
    <w:name w:val="HotSpot"/>
    <w:rsid w:val="00C620E0"/>
    <w:rPr>
      <w:color w:val="0033CC"/>
      <w:u w:val="none"/>
    </w:rPr>
  </w:style>
  <w:style w:type="paragraph" w:customStyle="1" w:styleId="BodyTextRight">
    <w:name w:val="Body Text Right"/>
    <w:basedOn w:val="BodyText"/>
    <w:rsid w:val="00C620E0"/>
    <w:pPr>
      <w:spacing w:before="0" w:after="0"/>
      <w:jc w:val="right"/>
    </w:pPr>
  </w:style>
  <w:style w:type="paragraph" w:styleId="Index3">
    <w:name w:val="index 3"/>
    <w:basedOn w:val="ListNumber2"/>
    <w:next w:val="Normal"/>
    <w:semiHidden/>
    <w:rsid w:val="00C620E0"/>
    <w:pPr>
      <w:numPr>
        <w:numId w:val="0"/>
      </w:numPr>
      <w:tabs>
        <w:tab w:val="right" w:leader="dot" w:pos="4176"/>
      </w:tabs>
    </w:pPr>
  </w:style>
  <w:style w:type="paragraph" w:styleId="ListNumber2">
    <w:name w:val="List Number 2"/>
    <w:basedOn w:val="List2"/>
    <w:rsid w:val="00C620E0"/>
    <w:pPr>
      <w:numPr>
        <w:numId w:val="10"/>
      </w:numPr>
      <w:tabs>
        <w:tab w:val="clear" w:pos="1060"/>
      </w:tabs>
    </w:pPr>
  </w:style>
  <w:style w:type="paragraph" w:customStyle="1" w:styleId="MarginNote">
    <w:name w:val="Margin Note"/>
    <w:basedOn w:val="BodyText"/>
    <w:rsid w:val="00C62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0E0"/>
    <w:rPr>
      <w:sz w:val="32"/>
    </w:rPr>
  </w:style>
  <w:style w:type="paragraph" w:customStyle="1" w:styleId="HeadingProcedure">
    <w:name w:val="Heading Procedure"/>
    <w:basedOn w:val="HeadingBase"/>
    <w:next w:val="Normal"/>
    <w:rsid w:val="00C620E0"/>
    <w:pPr>
      <w:tabs>
        <w:tab w:val="left" w:pos="0"/>
      </w:tabs>
      <w:spacing w:before="120" w:after="60"/>
    </w:pPr>
    <w:rPr>
      <w:i/>
      <w:color w:val="918585"/>
      <w:sz w:val="22"/>
    </w:rPr>
  </w:style>
  <w:style w:type="paragraph" w:customStyle="1" w:styleId="TableBodyText">
    <w:name w:val="Table Body Text"/>
    <w:basedOn w:val="BodyText"/>
    <w:rsid w:val="00C620E0"/>
    <w:pPr>
      <w:spacing w:before="60" w:after="60"/>
    </w:pPr>
  </w:style>
  <w:style w:type="paragraph" w:styleId="ListContinue">
    <w:name w:val="List Continue"/>
    <w:basedOn w:val="List"/>
    <w:rsid w:val="00C620E0"/>
    <w:pPr>
      <w:ind w:firstLine="0"/>
    </w:pPr>
  </w:style>
  <w:style w:type="paragraph" w:customStyle="1" w:styleId="ListNote">
    <w:name w:val="List Note"/>
    <w:basedOn w:val="List"/>
    <w:rsid w:val="00C620E0"/>
    <w:pPr>
      <w:pBdr>
        <w:top w:val="single" w:sz="6" w:space="2" w:color="918585"/>
        <w:bottom w:val="single" w:sz="6" w:space="2" w:color="918585"/>
      </w:pBdr>
      <w:tabs>
        <w:tab w:val="left" w:pos="1021"/>
      </w:tabs>
      <w:ind w:firstLine="0"/>
    </w:pPr>
  </w:style>
  <w:style w:type="paragraph" w:customStyle="1" w:styleId="Warning">
    <w:name w:val="Warning"/>
    <w:basedOn w:val="BodyText"/>
    <w:rsid w:val="00C620E0"/>
    <w:pPr>
      <w:shd w:val="clear" w:color="auto" w:fill="D9D9D9"/>
      <w:tabs>
        <w:tab w:val="left" w:pos="992"/>
      </w:tabs>
      <w:ind w:left="119" w:right="119"/>
    </w:pPr>
    <w:rPr>
      <w:sz w:val="20"/>
    </w:rPr>
  </w:style>
  <w:style w:type="paragraph" w:customStyle="1" w:styleId="MarginIcons">
    <w:name w:val="Margin Icons"/>
    <w:basedOn w:val="BodyText"/>
    <w:rsid w:val="00C62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0E0"/>
    <w:rPr>
      <w:rFonts w:ascii="Courier New" w:hAnsi="Courier New"/>
    </w:rPr>
  </w:style>
  <w:style w:type="paragraph" w:customStyle="1" w:styleId="NoteBullet">
    <w:name w:val="Note Bullet"/>
    <w:basedOn w:val="Note"/>
    <w:rsid w:val="00C620E0"/>
    <w:pPr>
      <w:tabs>
        <w:tab w:val="clear" w:pos="680"/>
      </w:tabs>
      <w:spacing w:before="60" w:after="60"/>
    </w:pPr>
  </w:style>
  <w:style w:type="paragraph" w:customStyle="1" w:styleId="SubHeading2">
    <w:name w:val="SubHeading2"/>
    <w:basedOn w:val="HeadingBase"/>
    <w:rsid w:val="00C620E0"/>
    <w:pPr>
      <w:spacing w:before="240" w:after="60"/>
    </w:pPr>
    <w:rPr>
      <w:sz w:val="20"/>
    </w:rPr>
  </w:style>
  <w:style w:type="paragraph" w:customStyle="1" w:styleId="SideHeading">
    <w:name w:val="Side Heading"/>
    <w:basedOn w:val="HeadingBase"/>
    <w:rsid w:val="00C62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0E0"/>
    <w:pPr>
      <w:tabs>
        <w:tab w:val="num" w:pos="360"/>
      </w:tabs>
    </w:pPr>
  </w:style>
  <w:style w:type="paragraph" w:styleId="PlainText">
    <w:name w:val="Plain Text"/>
    <w:basedOn w:val="Normal"/>
    <w:link w:val="PlainTextChar"/>
    <w:rsid w:val="00C620E0"/>
    <w:rPr>
      <w:sz w:val="20"/>
    </w:rPr>
  </w:style>
  <w:style w:type="character" w:customStyle="1" w:styleId="PlainTextChar">
    <w:name w:val="Plain Text Char"/>
    <w:basedOn w:val="DefaultParagraphFont"/>
    <w:link w:val="PlainText"/>
    <w:rsid w:val="00C620E0"/>
    <w:rPr>
      <w:rFonts w:ascii="Courier New" w:eastAsia="Times New Roman" w:hAnsi="Courier New" w:cs="Times New Roman"/>
      <w:sz w:val="20"/>
      <w:szCs w:val="20"/>
      <w:lang w:eastAsia="en-US"/>
    </w:rPr>
  </w:style>
  <w:style w:type="character" w:customStyle="1" w:styleId="MenuOption">
    <w:name w:val="Menu Option"/>
    <w:basedOn w:val="DefaultParagraphFont"/>
    <w:rsid w:val="00C620E0"/>
    <w:rPr>
      <w:b/>
      <w:smallCaps/>
    </w:rPr>
  </w:style>
  <w:style w:type="paragraph" w:customStyle="1" w:styleId="TableListNumber">
    <w:name w:val="Table List Number"/>
    <w:basedOn w:val="ListNumber"/>
    <w:rsid w:val="00C620E0"/>
    <w:pPr>
      <w:numPr>
        <w:numId w:val="0"/>
      </w:numPr>
    </w:pPr>
  </w:style>
  <w:style w:type="paragraph" w:styleId="TOC4">
    <w:name w:val="toc 4"/>
    <w:basedOn w:val="TOCBase"/>
    <w:next w:val="Normal"/>
    <w:semiHidden/>
    <w:rsid w:val="00C620E0"/>
    <w:pPr>
      <w:tabs>
        <w:tab w:val="right" w:leader="dot" w:pos="9071"/>
      </w:tabs>
      <w:ind w:left="1701"/>
    </w:pPr>
  </w:style>
  <w:style w:type="paragraph" w:customStyle="1" w:styleId="ListAlpha">
    <w:name w:val="List Alpha"/>
    <w:basedOn w:val="List"/>
    <w:rsid w:val="00C620E0"/>
    <w:pPr>
      <w:numPr>
        <w:numId w:val="9"/>
      </w:numPr>
    </w:pPr>
  </w:style>
  <w:style w:type="paragraph" w:customStyle="1" w:styleId="ListAlpha2">
    <w:name w:val="List Alpha 2"/>
    <w:basedOn w:val="List2"/>
    <w:rsid w:val="00C620E0"/>
    <w:pPr>
      <w:numPr>
        <w:numId w:val="8"/>
      </w:numPr>
    </w:pPr>
  </w:style>
  <w:style w:type="paragraph" w:styleId="List2">
    <w:name w:val="List 2"/>
    <w:basedOn w:val="BodyText"/>
    <w:rsid w:val="00C620E0"/>
    <w:pPr>
      <w:tabs>
        <w:tab w:val="left" w:pos="680"/>
      </w:tabs>
      <w:spacing w:before="60" w:after="60"/>
      <w:ind w:left="680" w:hanging="340"/>
    </w:pPr>
  </w:style>
  <w:style w:type="paragraph" w:styleId="List3">
    <w:name w:val="List 3"/>
    <w:basedOn w:val="BodyText"/>
    <w:rsid w:val="00C620E0"/>
    <w:pPr>
      <w:tabs>
        <w:tab w:val="left" w:pos="1021"/>
      </w:tabs>
      <w:spacing w:before="60" w:after="60"/>
      <w:ind w:left="1020" w:hanging="340"/>
    </w:pPr>
  </w:style>
  <w:style w:type="paragraph" w:styleId="List4">
    <w:name w:val="List 4"/>
    <w:basedOn w:val="BodyText"/>
    <w:rsid w:val="00C620E0"/>
    <w:pPr>
      <w:tabs>
        <w:tab w:val="left" w:pos="1361"/>
      </w:tabs>
      <w:spacing w:before="60" w:after="60"/>
      <w:ind w:left="1361" w:hanging="340"/>
    </w:pPr>
  </w:style>
  <w:style w:type="paragraph" w:styleId="List5">
    <w:name w:val="List 5"/>
    <w:basedOn w:val="BodyText"/>
    <w:rsid w:val="00C620E0"/>
    <w:pPr>
      <w:tabs>
        <w:tab w:val="left" w:pos="1701"/>
      </w:tabs>
      <w:spacing w:before="60" w:after="60"/>
      <w:ind w:left="1701" w:hanging="340"/>
    </w:pPr>
  </w:style>
  <w:style w:type="paragraph" w:styleId="ListBullet3">
    <w:name w:val="List Bullet 3"/>
    <w:basedOn w:val="List3"/>
    <w:rsid w:val="00C620E0"/>
    <w:pPr>
      <w:numPr>
        <w:numId w:val="14"/>
      </w:numPr>
      <w:tabs>
        <w:tab w:val="clear" w:pos="1021"/>
      </w:tabs>
      <w:ind w:left="1037" w:hanging="357"/>
    </w:pPr>
  </w:style>
  <w:style w:type="paragraph" w:styleId="ListBullet4">
    <w:name w:val="List Bullet 4"/>
    <w:basedOn w:val="List4"/>
    <w:rsid w:val="00C620E0"/>
    <w:pPr>
      <w:numPr>
        <w:numId w:val="3"/>
      </w:numPr>
      <w:tabs>
        <w:tab w:val="clear" w:pos="1361"/>
      </w:tabs>
    </w:pPr>
  </w:style>
  <w:style w:type="paragraph" w:styleId="ListBullet5">
    <w:name w:val="List Bullet 5"/>
    <w:basedOn w:val="List5"/>
    <w:rsid w:val="00C620E0"/>
    <w:pPr>
      <w:numPr>
        <w:numId w:val="4"/>
      </w:numPr>
    </w:pPr>
  </w:style>
  <w:style w:type="paragraph" w:styleId="ListContinue2">
    <w:name w:val="List Continue 2"/>
    <w:basedOn w:val="List2"/>
    <w:rsid w:val="00C620E0"/>
    <w:pPr>
      <w:ind w:firstLine="0"/>
    </w:pPr>
  </w:style>
  <w:style w:type="paragraph" w:styleId="ListContinue3">
    <w:name w:val="List Continue 3"/>
    <w:basedOn w:val="List3"/>
    <w:rsid w:val="00C620E0"/>
    <w:pPr>
      <w:ind w:left="1021" w:firstLine="0"/>
    </w:pPr>
  </w:style>
  <w:style w:type="paragraph" w:styleId="ListContinue4">
    <w:name w:val="List Continue 4"/>
    <w:basedOn w:val="List4"/>
    <w:rsid w:val="00C620E0"/>
    <w:pPr>
      <w:ind w:firstLine="0"/>
    </w:pPr>
  </w:style>
  <w:style w:type="paragraph" w:styleId="ListContinue5">
    <w:name w:val="List Continue 5"/>
    <w:basedOn w:val="List5"/>
    <w:rsid w:val="00C620E0"/>
    <w:pPr>
      <w:ind w:firstLine="0"/>
    </w:pPr>
  </w:style>
  <w:style w:type="paragraph" w:styleId="ListNumber3">
    <w:name w:val="List Number 3"/>
    <w:basedOn w:val="List3"/>
    <w:rsid w:val="00C620E0"/>
    <w:pPr>
      <w:numPr>
        <w:numId w:val="5"/>
      </w:numPr>
    </w:pPr>
  </w:style>
  <w:style w:type="paragraph" w:styleId="ListNumber4">
    <w:name w:val="List Number 4"/>
    <w:basedOn w:val="List4"/>
    <w:rsid w:val="00C620E0"/>
    <w:pPr>
      <w:numPr>
        <w:numId w:val="6"/>
      </w:numPr>
    </w:pPr>
  </w:style>
  <w:style w:type="paragraph" w:styleId="ListNumber5">
    <w:name w:val="List Number 5"/>
    <w:basedOn w:val="List5"/>
    <w:rsid w:val="00C620E0"/>
    <w:pPr>
      <w:numPr>
        <w:numId w:val="7"/>
      </w:numPr>
    </w:pPr>
  </w:style>
  <w:style w:type="paragraph" w:styleId="BlockText">
    <w:name w:val="Block Text"/>
    <w:basedOn w:val="Normal"/>
    <w:rsid w:val="00C620E0"/>
    <w:pPr>
      <w:spacing w:after="120"/>
      <w:ind w:left="1440" w:right="1440"/>
    </w:pPr>
  </w:style>
  <w:style w:type="character" w:customStyle="1" w:styleId="Subscript">
    <w:name w:val="Subscript"/>
    <w:basedOn w:val="DefaultParagraphFont"/>
    <w:rsid w:val="00C620E0"/>
    <w:rPr>
      <w:sz w:val="16"/>
      <w:vertAlign w:val="subscript"/>
    </w:rPr>
  </w:style>
  <w:style w:type="character" w:customStyle="1" w:styleId="Superscript">
    <w:name w:val="Superscript"/>
    <w:basedOn w:val="DefaultParagraphFont"/>
    <w:rsid w:val="00C620E0"/>
    <w:rPr>
      <w:sz w:val="16"/>
      <w:vertAlign w:val="superscript"/>
    </w:rPr>
  </w:style>
  <w:style w:type="character" w:customStyle="1" w:styleId="Symbols">
    <w:name w:val="Symbols"/>
    <w:basedOn w:val="DefaultParagraphFont"/>
    <w:rsid w:val="00C620E0"/>
    <w:rPr>
      <w:rFonts w:ascii="Symbol" w:hAnsi="Symbol"/>
    </w:rPr>
  </w:style>
  <w:style w:type="character" w:customStyle="1" w:styleId="MenuOptions">
    <w:name w:val="Menu Options"/>
    <w:basedOn w:val="DefaultParagraphFont"/>
    <w:rsid w:val="00C620E0"/>
    <w:rPr>
      <w:rFonts w:ascii="Arial Narrow" w:hAnsi="Arial Narrow"/>
      <w:smallCaps/>
    </w:rPr>
  </w:style>
  <w:style w:type="character" w:customStyle="1" w:styleId="Buttons">
    <w:name w:val="Buttons"/>
    <w:basedOn w:val="DefaultParagraphFont"/>
    <w:rsid w:val="00C620E0"/>
    <w:rPr>
      <w:b/>
    </w:rPr>
  </w:style>
  <w:style w:type="character" w:customStyle="1" w:styleId="Underlined">
    <w:name w:val="Underlined"/>
    <w:basedOn w:val="DefaultParagraphFont"/>
    <w:rsid w:val="00C620E0"/>
    <w:rPr>
      <w:u w:val="single"/>
    </w:rPr>
  </w:style>
  <w:style w:type="paragraph" w:customStyle="1" w:styleId="TableBodyTextRight">
    <w:name w:val="Table Body Text Right"/>
    <w:basedOn w:val="TableBodyText"/>
    <w:rsid w:val="00C620E0"/>
    <w:pPr>
      <w:widowControl w:val="0"/>
      <w:autoSpaceDE w:val="0"/>
      <w:autoSpaceDN w:val="0"/>
      <w:adjustRightInd w:val="0"/>
      <w:jc w:val="right"/>
    </w:pPr>
    <w:rPr>
      <w:rFonts w:cs="Arial"/>
      <w:szCs w:val="18"/>
    </w:rPr>
  </w:style>
  <w:style w:type="paragraph" w:customStyle="1" w:styleId="CopyrightText">
    <w:name w:val="Copyright Text"/>
    <w:basedOn w:val="BodyText"/>
    <w:rsid w:val="00C620E0"/>
    <w:rPr>
      <w:sz w:val="18"/>
    </w:rPr>
  </w:style>
  <w:style w:type="paragraph" w:customStyle="1" w:styleId="BodySmallRight">
    <w:name w:val="Body Small Right"/>
    <w:basedOn w:val="BodyTextRight"/>
    <w:rsid w:val="00C620E0"/>
    <w:rPr>
      <w:sz w:val="18"/>
      <w:szCs w:val="18"/>
    </w:rPr>
  </w:style>
  <w:style w:type="paragraph" w:customStyle="1" w:styleId="MarginEdition">
    <w:name w:val="Margin Edition"/>
    <w:basedOn w:val="MarginNote"/>
    <w:rsid w:val="00C620E0"/>
    <w:pPr>
      <w:spacing w:before="0" w:after="0"/>
    </w:pPr>
    <w:rPr>
      <w:rFonts w:ascii="Times New Roman" w:hAnsi="Times New Roman"/>
      <w:color w:val="999999"/>
    </w:rPr>
  </w:style>
  <w:style w:type="paragraph" w:customStyle="1" w:styleId="Spacer">
    <w:name w:val="Spacer"/>
    <w:basedOn w:val="Normal"/>
    <w:rsid w:val="00C620E0"/>
    <w:rPr>
      <w:sz w:val="2"/>
      <w:szCs w:val="2"/>
    </w:rPr>
  </w:style>
  <w:style w:type="character" w:customStyle="1" w:styleId="Small">
    <w:name w:val="Small"/>
    <w:basedOn w:val="DefaultParagraphFont"/>
    <w:rsid w:val="00C620E0"/>
    <w:rPr>
      <w:sz w:val="16"/>
    </w:rPr>
  </w:style>
  <w:style w:type="paragraph" w:customStyle="1" w:styleId="WideTable">
    <w:name w:val="Wide Table"/>
    <w:basedOn w:val="Normal"/>
    <w:rsid w:val="00C620E0"/>
    <w:pPr>
      <w:ind w:left="-1418"/>
    </w:pPr>
    <w:rPr>
      <w:sz w:val="2"/>
      <w:szCs w:val="2"/>
    </w:rPr>
  </w:style>
  <w:style w:type="character" w:styleId="PageNumber">
    <w:name w:val="page number"/>
    <w:basedOn w:val="DefaultParagraphFont"/>
    <w:rsid w:val="00C620E0"/>
  </w:style>
  <w:style w:type="paragraph" w:styleId="Quote">
    <w:name w:val="Quote"/>
    <w:basedOn w:val="Heading1"/>
    <w:link w:val="QuoteChar"/>
    <w:qFormat/>
    <w:rsid w:val="00C620E0"/>
    <w:rPr>
      <w:b w:val="0"/>
      <w:sz w:val="72"/>
      <w:szCs w:val="72"/>
      <w:lang w:val="en-NZ"/>
    </w:rPr>
  </w:style>
  <w:style w:type="character" w:customStyle="1" w:styleId="QuoteChar">
    <w:name w:val="Quote Char"/>
    <w:basedOn w:val="DefaultParagraphFont"/>
    <w:link w:val="Quote"/>
    <w:rsid w:val="00C62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0E0"/>
    <w:pPr>
      <w:pageBreakBefore/>
    </w:pPr>
  </w:style>
  <w:style w:type="paragraph" w:customStyle="1" w:styleId="Border">
    <w:name w:val="Border"/>
    <w:basedOn w:val="Normal"/>
    <w:qFormat/>
    <w:rsid w:val="00C62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0E0"/>
    <w:rPr>
      <w:b/>
      <w:bCs/>
      <w:i/>
      <w:iCs/>
      <w:color w:val="auto"/>
    </w:rPr>
  </w:style>
  <w:style w:type="paragraph" w:styleId="IntenseQuote">
    <w:name w:val="Intense Quote"/>
    <w:basedOn w:val="Normal"/>
    <w:next w:val="Normal"/>
    <w:link w:val="IntenseQuoteChar"/>
    <w:uiPriority w:val="30"/>
    <w:qFormat/>
    <w:rsid w:val="00C62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0E0"/>
    <w:rPr>
      <w:smallCaps/>
      <w:color w:val="auto"/>
      <w:u w:val="single"/>
    </w:rPr>
  </w:style>
  <w:style w:type="character" w:styleId="IntenseReference">
    <w:name w:val="Intense Reference"/>
    <w:basedOn w:val="DefaultParagraphFont"/>
    <w:uiPriority w:val="32"/>
    <w:qFormat/>
    <w:rsid w:val="00C620E0"/>
    <w:rPr>
      <w:b/>
      <w:bCs/>
      <w:smallCaps/>
      <w:color w:val="auto"/>
      <w:spacing w:val="5"/>
      <w:u w:val="single"/>
    </w:rPr>
  </w:style>
  <w:style w:type="paragraph" w:customStyle="1" w:styleId="2ColumnHeading">
    <w:name w:val="2Column Heading"/>
    <w:basedOn w:val="BodyText"/>
    <w:qFormat/>
    <w:rsid w:val="00C620E0"/>
    <w:pPr>
      <w:spacing w:after="60"/>
      <w:ind w:left="-2268"/>
    </w:pPr>
    <w:rPr>
      <w:b/>
    </w:rPr>
  </w:style>
  <w:style w:type="paragraph" w:customStyle="1" w:styleId="Heading1TOC">
    <w:name w:val="Heading1 TOC"/>
    <w:basedOn w:val="Normal"/>
    <w:qFormat/>
    <w:rsid w:val="00C620E0"/>
    <w:pPr>
      <w:spacing w:before="240" w:after="120"/>
    </w:pPr>
    <w:rPr>
      <w:rFonts w:ascii="Times New Roman" w:hAnsi="Times New Roman"/>
      <w:b/>
      <w:sz w:val="32"/>
    </w:rPr>
  </w:style>
  <w:style w:type="paragraph" w:customStyle="1" w:styleId="Heading2TOC">
    <w:name w:val="Heading2 TOC"/>
    <w:basedOn w:val="Normal"/>
    <w:qFormat/>
    <w:rsid w:val="00C620E0"/>
    <w:pPr>
      <w:spacing w:before="240" w:after="60"/>
    </w:pPr>
    <w:rPr>
      <w:rFonts w:ascii="Times New Roman" w:hAnsi="Times New Roman"/>
      <w:b/>
      <w:sz w:val="28"/>
    </w:rPr>
  </w:style>
  <w:style w:type="character" w:customStyle="1" w:styleId="Underline">
    <w:name w:val="Underline"/>
    <w:basedOn w:val="DefaultParagraphFont"/>
    <w:qFormat/>
    <w:rsid w:val="00C620E0"/>
    <w:rPr>
      <w:u w:val="single"/>
    </w:rPr>
  </w:style>
  <w:style w:type="character" w:customStyle="1" w:styleId="BoldandItalics">
    <w:name w:val="Bold and Italics"/>
    <w:qFormat/>
    <w:rsid w:val="00C620E0"/>
    <w:rPr>
      <w:b/>
      <w:i/>
      <w:u w:val="none"/>
    </w:rPr>
  </w:style>
  <w:style w:type="paragraph" w:styleId="BalloonText">
    <w:name w:val="Balloon Text"/>
    <w:basedOn w:val="Normal"/>
    <w:link w:val="BalloonTextChar"/>
    <w:rsid w:val="00C620E0"/>
    <w:rPr>
      <w:rFonts w:ascii="Tahoma" w:hAnsi="Tahoma" w:cs="Tahoma"/>
      <w:sz w:val="16"/>
      <w:szCs w:val="16"/>
    </w:rPr>
  </w:style>
  <w:style w:type="character" w:customStyle="1" w:styleId="BalloonTextChar">
    <w:name w:val="Balloon Text Char"/>
    <w:basedOn w:val="DefaultParagraphFont"/>
    <w:link w:val="BalloonText"/>
    <w:rsid w:val="00C62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0E0"/>
    <w:rPr>
      <w:b/>
      <w:color w:val="660033"/>
      <w:spacing w:val="0"/>
    </w:rPr>
  </w:style>
  <w:style w:type="paragraph" w:customStyle="1" w:styleId="Nameditemlist">
    <w:name w:val="Named item list"/>
    <w:basedOn w:val="BodyText"/>
    <w:qFormat/>
    <w:rsid w:val="00C620E0"/>
    <w:pPr>
      <w:tabs>
        <w:tab w:val="left" w:pos="2835"/>
      </w:tabs>
      <w:ind w:left="2835" w:hanging="2835"/>
    </w:pPr>
  </w:style>
  <w:style w:type="paragraph" w:customStyle="1" w:styleId="BodyTextnopadding">
    <w:name w:val="Body Text no padding"/>
    <w:basedOn w:val="BodyText"/>
    <w:qFormat/>
    <w:rsid w:val="00C620E0"/>
    <w:pPr>
      <w:spacing w:before="0" w:after="0"/>
    </w:pPr>
  </w:style>
  <w:style w:type="paragraph" w:customStyle="1" w:styleId="BodyTextBold">
    <w:name w:val="Body Text Bold"/>
    <w:basedOn w:val="BodyText"/>
    <w:qFormat/>
    <w:rsid w:val="00C620E0"/>
    <w:rPr>
      <w:b/>
    </w:rPr>
  </w:style>
  <w:style w:type="character" w:styleId="Hyperlink">
    <w:name w:val="Hyperlink"/>
    <w:basedOn w:val="DefaultParagraphFont"/>
    <w:uiPriority w:val="99"/>
    <w:unhideWhenUsed/>
    <w:rsid w:val="00E94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5611</Characters>
  <Application>Microsoft Office Word</Application>
  <DocSecurity>0</DocSecurity>
  <Lines>136</Lines>
  <Paragraphs>87</Paragraphs>
  <ScaleCrop>false</ScaleCrop>
  <Company>Author-it Software Corporation Ltd.</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RIIWSV203D Prepare equipment for well servicing air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2020-07-08T06:08:00Z</dcterms:created>
  <dcterms:modified xsi:type="dcterms:W3CDTF">2020-07-08T06:08:00Z</dcterms:modified>
</cp:coreProperties>
</file>