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A61" w:rsidP="00303A61">
      <w:pPr>
        <w:pStyle w:val="Title"/>
      </w:pPr>
      <w:r>
        <w:fldChar w:fldCharType="begin"/>
      </w:r>
      <w:r>
        <w:instrText xml:space="preserve"> TITLE   \* MERGEFORMAT </w:instrText>
      </w:r>
      <w:r>
        <w:fldChar w:fldCharType="separate"/>
      </w:r>
      <w:r>
        <w:t>Assessment Requirements for RIIWSV201D Perform well servicing rig floor operations</w:t>
      </w:r>
      <w:r>
        <w:fldChar w:fldCharType="end"/>
      </w:r>
    </w:p>
    <w:p w:rsidR="00303A61" w:rsidP="00303A61">
      <w:pPr>
        <w:pStyle w:val="Version"/>
        <w:sectPr w:rsidSect="004A42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42A8" w:rsidP="004A42A8">
      <w:pPr>
        <w:pStyle w:val="SuperHeading"/>
      </w:pPr>
      <w:r w:rsidRPr="004A42A8">
        <w:t>Assessment Requirements for RIIWSV201D Perform well servicing rig floor operations</w:t>
      </w:r>
    </w:p>
    <w:p w:rsidR="00000000" w:rsidRPr="004A42A8" w:rsidP="004A42A8">
      <w:pPr>
        <w:pStyle w:val="Heading1"/>
      </w:pPr>
      <w:bookmarkStart w:id="1" w:name="O_680971"/>
      <w:bookmarkEnd w:id="1"/>
      <w:r w:rsidRPr="004A42A8">
        <w:t>Modification History</w:t>
      </w:r>
    </w:p>
    <w:tbl>
      <w:tblPr>
        <w:tblW w:w="0" w:type="auto"/>
        <w:tblCellMar>
          <w:left w:w="62" w:type="dxa"/>
          <w:right w:w="62" w:type="dxa"/>
        </w:tblCellMar>
        <w:tblLook w:val="0000"/>
      </w:tblPr>
      <w:tblGrid>
        <w:gridCol w:w="1107"/>
        <w:gridCol w:w="8089"/>
      </w:tblGrid>
      <w:tr w:rsidTr="00303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Heading4"/>
              <w:rPr>
                <w:lang w:val="en-NZ"/>
              </w:rPr>
            </w:pPr>
            <w:r w:rsidRPr="004A42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Heading4"/>
              <w:rPr>
                <w:lang w:val="en-NZ"/>
              </w:rPr>
            </w:pPr>
            <w:r w:rsidRPr="004A42A8">
              <w:t>Comment</w:t>
            </w:r>
          </w:p>
        </w:tc>
      </w:tr>
      <w:tr w:rsidTr="00303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BodyText"/>
              <w:rPr>
                <w:lang w:val="en-NZ"/>
              </w:rPr>
            </w:pPr>
            <w:r w:rsidRPr="004A42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BodyText"/>
              <w:rPr>
                <w:lang w:val="en-NZ"/>
              </w:rPr>
            </w:pPr>
            <w:r w:rsidRPr="004A42A8">
              <w:t>This is a new unit</w:t>
            </w:r>
          </w:p>
        </w:tc>
      </w:tr>
      <w:tr w:rsidTr="00303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BodyText"/>
              <w:rPr>
                <w:lang w:val="en-NZ"/>
              </w:rPr>
            </w:pPr>
            <w:r w:rsidRPr="004A42A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BodyText"/>
              <w:rPr>
                <w:lang w:val="en-NZ"/>
              </w:rPr>
            </w:pPr>
            <w:r w:rsidRPr="004A42A8">
              <w:t>Editorial corrections</w:t>
            </w:r>
          </w:p>
        </w:tc>
      </w:tr>
      <w:tr w:rsidTr="00303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2A8">
            <w:pPr>
              <w:pStyle w:val="BodyText"/>
              <w:rPr>
                <w:lang w:val="en-NZ"/>
              </w:rPr>
            </w:pPr>
            <w:r w:rsidRPr="004A42A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2A8" w:rsidP="004A42A8">
            <w:pPr>
              <w:pStyle w:val="BodyText"/>
            </w:pPr>
            <w:r w:rsidRPr="004A42A8">
              <w:t>Required frequency and volume of evidence amended in Performance evidence.</w:t>
            </w:r>
          </w:p>
          <w:p w:rsidR="00000000" w:rsidRPr="004A42A8" w:rsidP="004A42A8">
            <w:pPr>
              <w:pStyle w:val="BodyText"/>
            </w:pPr>
            <w:r w:rsidRPr="004A42A8">
              <w:t>Substantial amendments made in Assessment Conditions field, including: references to Industry Sectors, assessor and subject matter expert experience requirements, how assessment sho</w:t>
            </w:r>
            <w:r w:rsidRPr="004A42A8">
              <w:t>uld be conducted and what it should confirm.</w:t>
            </w:r>
          </w:p>
        </w:tc>
      </w:tr>
    </w:tbl>
    <w:p w:rsidR="00000000" w:rsidRPr="004A42A8" w:rsidP="004A42A8">
      <w:pPr>
        <w:pStyle w:val="BodyText"/>
      </w:pPr>
    </w:p>
    <w:p w:rsidR="00000000" w:rsidRPr="004A42A8" w:rsidP="004A42A8">
      <w:pPr>
        <w:pStyle w:val="AllowPageBreak"/>
      </w:pPr>
    </w:p>
    <w:p w:rsidR="00000000" w:rsidRPr="004A42A8" w:rsidP="004A42A8">
      <w:pPr>
        <w:pStyle w:val="Heading1"/>
      </w:pPr>
      <w:bookmarkStart w:id="2" w:name="O_680970"/>
      <w:bookmarkEnd w:id="2"/>
      <w:r w:rsidRPr="004A42A8">
        <w:t>Performance Evidence</w:t>
      </w:r>
    </w:p>
    <w:p w:rsidR="00000000" w:rsidRPr="004A42A8" w:rsidP="004A42A8">
      <w:pPr>
        <w:pStyle w:val="BodyText"/>
      </w:pPr>
      <w:r w:rsidRPr="004A42A8">
        <w:t>Evidence is required to be collected that demonstrates a candidate’s competency in this unit. Evidence must be relevant to the roles within this sector’s work operations a</w:t>
      </w:r>
      <w:r w:rsidRPr="004A42A8">
        <w:t>nd satisfy all of the requirements of the performance criteria of this unit and include evidence that the candidate:</w:t>
      </w:r>
    </w:p>
    <w:p w:rsidR="00000000" w:rsidRPr="004A42A8" w:rsidP="004A42A8">
      <w:pPr>
        <w:pStyle w:val="ListBullet"/>
      </w:pPr>
      <w:r w:rsidRPr="004A42A8">
        <w:t>locates and applies relevant documentation, policies and procedures</w:t>
      </w:r>
    </w:p>
    <w:p w:rsidR="00000000" w:rsidRPr="004A42A8" w:rsidP="004A42A8">
      <w:pPr>
        <w:pStyle w:val="ListBullet"/>
      </w:pPr>
      <w:r w:rsidRPr="004A42A8">
        <w:t>works effectively with others to undertake and complete well servicing rig floor operations that meets all of the required outcomes including:</w:t>
      </w:r>
    </w:p>
    <w:p w:rsidR="00000000" w:rsidRPr="004A42A8" w:rsidP="004A42A8">
      <w:pPr>
        <w:pStyle w:val="ListBullet2"/>
      </w:pPr>
      <w:r w:rsidRPr="004A42A8">
        <w:t>complying with written and verbal reporting requirements and procedures</w:t>
      </w:r>
    </w:p>
    <w:p w:rsidR="00000000" w:rsidRPr="004A42A8" w:rsidP="004A42A8">
      <w:pPr>
        <w:pStyle w:val="ListBullet2"/>
      </w:pPr>
      <w:r w:rsidRPr="004A42A8">
        <w:t>communicating clearly and concisely with</w:t>
      </w:r>
      <w:r w:rsidRPr="004A42A8">
        <w:t xml:space="preserve"> others to receive and clarify work instructions</w:t>
      </w:r>
    </w:p>
    <w:p w:rsidR="00000000" w:rsidRPr="004A42A8" w:rsidP="004A42A8">
      <w:pPr>
        <w:pStyle w:val="ListBullet2"/>
      </w:pPr>
      <w:r w:rsidRPr="004A42A8">
        <w:t>communicating clearly and concisely with others to resolve coordination requirements throughout work activities</w:t>
      </w:r>
    </w:p>
    <w:p w:rsidR="00000000" w:rsidRPr="004A42A8" w:rsidP="004A42A8">
      <w:pPr>
        <w:pStyle w:val="ListBullet"/>
      </w:pPr>
      <w:r w:rsidRPr="004A42A8">
        <w:t>demonstrates completion of well servicing rig floor operations that safely, effectively and ef</w:t>
      </w:r>
      <w:r w:rsidRPr="004A42A8">
        <w:t>ficiently meets all of the required outcomes on more than one (1) occasion including:</w:t>
      </w:r>
    </w:p>
    <w:p w:rsidR="00000000" w:rsidRPr="004A42A8" w:rsidP="004A42A8">
      <w:pPr>
        <w:pStyle w:val="ListBullet2"/>
      </w:pPr>
      <w:r w:rsidRPr="004A42A8">
        <w:t>correctly babbitt the wire line sockets</w:t>
      </w:r>
    </w:p>
    <w:p w:rsidR="00000000" w:rsidRPr="004A42A8" w:rsidP="004A42A8">
      <w:pPr>
        <w:pStyle w:val="ListBullet2"/>
      </w:pPr>
      <w:r w:rsidRPr="004A42A8">
        <w:t>assisting in the preparation and running of blow out prevention (BOP) stack, riser and diverter package</w:t>
      </w:r>
    </w:p>
    <w:p w:rsidR="00000000" w:rsidRPr="004A42A8" w:rsidP="004A42A8">
      <w:pPr>
        <w:pStyle w:val="ListBullet2"/>
      </w:pPr>
      <w:r w:rsidRPr="004A42A8">
        <w:t>prepares and runs the dri</w:t>
      </w:r>
      <w:r w:rsidRPr="004A42A8">
        <w:t>ll string:</w:t>
      </w:r>
    </w:p>
    <w:p w:rsidR="00000000" w:rsidRPr="004A42A8" w:rsidP="004A42A8">
      <w:pPr>
        <w:pStyle w:val="ListBullet3"/>
      </w:pPr>
      <w:r w:rsidRPr="004A42A8">
        <w:t>well servicing rig floor operation</w:t>
      </w:r>
    </w:p>
    <w:p w:rsidR="00000000" w:rsidRPr="004A42A8" w:rsidP="004A42A8">
      <w:pPr>
        <w:pStyle w:val="ListBullet2"/>
      </w:pPr>
      <w:r w:rsidRPr="004A42A8">
        <w:t>assisting as directed in preparing, running and cementing of casing:</w:t>
      </w:r>
    </w:p>
    <w:p w:rsidR="00000000" w:rsidRPr="004A42A8" w:rsidP="004A42A8">
      <w:pPr>
        <w:pStyle w:val="ListBullet3"/>
      </w:pPr>
      <w:r w:rsidRPr="004A42A8">
        <w:t>checks the slips, elevator slips, elevator and tongs, including power tongs</w:t>
      </w:r>
    </w:p>
    <w:p w:rsidR="00000000" w:rsidRPr="004A42A8" w:rsidP="004A42A8">
      <w:pPr>
        <w:pStyle w:val="ListBullet3"/>
      </w:pPr>
      <w:r w:rsidRPr="004A42A8">
        <w:t>makes up the tubing hanger and fl</w:t>
      </w:r>
      <w:r w:rsidRPr="004A42A8">
        <w:t>oat or baffle collar correctly</w:t>
      </w:r>
    </w:p>
    <w:p w:rsidR="00000000" w:rsidRPr="004A42A8" w:rsidP="004A42A8">
      <w:pPr>
        <w:pStyle w:val="ListBullet3"/>
      </w:pPr>
      <w:r w:rsidRPr="004A42A8">
        <w:t>fills the casing safely and with the required frequency</w:t>
      </w:r>
    </w:p>
    <w:p w:rsidR="00000000" w:rsidRPr="004A42A8" w:rsidP="004A42A8">
      <w:pPr>
        <w:pStyle w:val="ListBullet3"/>
      </w:pPr>
      <w:r w:rsidRPr="004A42A8">
        <w:t>thoroughly clean one mud tank and pre-mix any required mud materials</w:t>
      </w:r>
    </w:p>
    <w:p w:rsidR="00000000" w:rsidRPr="004A42A8" w:rsidP="004A42A8">
      <w:pPr>
        <w:pStyle w:val="ListBullet2"/>
      </w:pPr>
      <w:r w:rsidRPr="004A42A8">
        <w:t>preparing and operating pipe handling equipment:</w:t>
      </w:r>
    </w:p>
    <w:p w:rsidR="00000000" w:rsidRPr="004A42A8" w:rsidP="004A42A8">
      <w:pPr>
        <w:pStyle w:val="ListBullet3"/>
      </w:pPr>
      <w:r w:rsidRPr="004A42A8">
        <w:t>checks and overhaul the rig tongs and slips</w:t>
      </w:r>
    </w:p>
    <w:p w:rsidR="00000000" w:rsidRPr="004A42A8" w:rsidP="004A42A8">
      <w:pPr>
        <w:pStyle w:val="ListBullet3"/>
      </w:pPr>
      <w:r w:rsidRPr="004A42A8">
        <w:t>check</w:t>
      </w:r>
      <w:r w:rsidRPr="004A42A8">
        <w:t xml:space="preserve">s the chains and operate pipe spinner correctly </w:t>
      </w:r>
    </w:p>
    <w:p w:rsidR="00000000" w:rsidRPr="004A42A8" w:rsidP="004A42A8">
      <w:pPr>
        <w:pStyle w:val="ListBullet3"/>
      </w:pPr>
      <w:r w:rsidRPr="004A42A8">
        <w:t>assists in making a conventional drilling connection using correct procedures</w:t>
      </w:r>
    </w:p>
    <w:p w:rsidR="00000000" w:rsidRPr="004A42A8" w:rsidP="004A42A8">
      <w:pPr>
        <w:pStyle w:val="ListBullet3"/>
      </w:pPr>
      <w:r w:rsidRPr="004A42A8">
        <w:t>applies the additional safety regulations in force whilst flow testing a well</w:t>
      </w:r>
    </w:p>
    <w:p w:rsidR="00000000" w:rsidRPr="004A42A8" w:rsidP="004A42A8">
      <w:pPr>
        <w:pStyle w:val="ListBullet3"/>
      </w:pPr>
      <w:r w:rsidRPr="004A42A8">
        <w:t>assists in rigging up the electro-logging sheave ca</w:t>
      </w:r>
      <w:r w:rsidRPr="004A42A8">
        <w:t>ble, and know the patterns and positions of its hanging points</w:t>
      </w:r>
    </w:p>
    <w:p w:rsidR="00000000" w:rsidRPr="004A42A8" w:rsidP="004A42A8">
      <w:pPr>
        <w:pStyle w:val="ListBullet3"/>
      </w:pPr>
      <w:r w:rsidRPr="004A42A8">
        <w:t>works effectively with others to undertake and complete well servicing rig floor operations that meets all of the required outcomes</w:t>
      </w:r>
    </w:p>
    <w:p w:rsidR="00000000" w:rsidRPr="004A42A8" w:rsidP="004A42A8">
      <w:pPr>
        <w:pStyle w:val="AllowPageBreak"/>
      </w:pPr>
    </w:p>
    <w:p w:rsidR="00000000" w:rsidRPr="004A42A8" w:rsidP="004A42A8">
      <w:pPr>
        <w:pStyle w:val="Heading1"/>
      </w:pPr>
      <w:bookmarkStart w:id="3" w:name="O_680969"/>
      <w:bookmarkEnd w:id="3"/>
      <w:r w:rsidRPr="004A42A8">
        <w:t>Knowledge Evidence</w:t>
      </w:r>
    </w:p>
    <w:p w:rsidR="00000000" w:rsidRPr="004A42A8" w:rsidP="004A42A8">
      <w:pPr>
        <w:pStyle w:val="BodyText"/>
      </w:pPr>
      <w:r w:rsidRPr="004A42A8">
        <w:t>The candidate must demo</w:t>
      </w:r>
      <w:r w:rsidRPr="004A42A8">
        <w:t>nstrate knowledge of applying the performing well servicing rig floor operations through:</w:t>
      </w:r>
    </w:p>
    <w:p w:rsidR="00000000" w:rsidRPr="004A42A8" w:rsidP="004A42A8">
      <w:pPr>
        <w:pStyle w:val="ListBullet"/>
      </w:pPr>
      <w:r w:rsidRPr="004A42A8">
        <w:t xml:space="preserve">accessing, interpreting and applying the organisation and site requirements and procedures </w:t>
      </w:r>
    </w:p>
    <w:p w:rsidR="00000000" w:rsidRPr="004A42A8" w:rsidP="004A42A8">
      <w:pPr>
        <w:pStyle w:val="ListBullet"/>
      </w:pPr>
      <w:r w:rsidRPr="004A42A8">
        <w:t>rig safety and emergency procedures</w:t>
      </w:r>
    </w:p>
    <w:p w:rsidR="00000000" w:rsidRPr="004A42A8" w:rsidP="004A42A8">
      <w:pPr>
        <w:pStyle w:val="ListBullet"/>
      </w:pPr>
      <w:r w:rsidRPr="004A42A8">
        <w:t xml:space="preserve">maintaining safe practices when Well </w:t>
      </w:r>
      <w:r w:rsidRPr="004A42A8">
        <w:t>Loggers are handling explosives or radioactive materials company and statutory safety guidelines, procedures and practices</w:t>
      </w:r>
    </w:p>
    <w:p w:rsidR="00000000" w:rsidRPr="004A42A8" w:rsidP="004A42A8">
      <w:pPr>
        <w:pStyle w:val="ListBullet"/>
      </w:pPr>
      <w:r w:rsidRPr="004A42A8">
        <w:t>identifying the characteristics of stored energy</w:t>
      </w:r>
    </w:p>
    <w:p w:rsidR="00000000" w:rsidRPr="004A42A8" w:rsidP="004A42A8">
      <w:pPr>
        <w:pStyle w:val="ListBullet"/>
      </w:pPr>
      <w:r w:rsidRPr="004A42A8">
        <w:t>complying with equipment safe operating procedures</w:t>
      </w:r>
    </w:p>
    <w:p w:rsidR="00000000" w:rsidRPr="004A42A8" w:rsidP="004A42A8">
      <w:pPr>
        <w:pStyle w:val="ListBullet"/>
      </w:pPr>
      <w:r w:rsidRPr="004A42A8">
        <w:t>running and cementing casing</w:t>
      </w:r>
    </w:p>
    <w:p w:rsidR="00000000" w:rsidRPr="004A42A8" w:rsidP="004A42A8">
      <w:pPr>
        <w:pStyle w:val="ListBullet"/>
      </w:pPr>
      <w:r w:rsidRPr="004A42A8">
        <w:t>know</w:t>
      </w:r>
      <w:r w:rsidRPr="004A42A8">
        <w:t>ledge of equipment condition and reporting mechanisms</w:t>
      </w:r>
    </w:p>
    <w:p w:rsidR="00000000" w:rsidRPr="004A42A8" w:rsidP="004A42A8">
      <w:pPr>
        <w:pStyle w:val="ListBullet"/>
      </w:pPr>
      <w:r w:rsidRPr="004A42A8">
        <w:t>identifying the function of the triangular mark stamped just above the casing</w:t>
      </w:r>
    </w:p>
    <w:p w:rsidR="00000000" w:rsidRPr="004A42A8" w:rsidP="004A42A8">
      <w:pPr>
        <w:pStyle w:val="ListBullet"/>
      </w:pPr>
      <w:r w:rsidRPr="004A42A8">
        <w:t>identifying the steps taken if the well kicks whilst running casing</w:t>
      </w:r>
    </w:p>
    <w:p w:rsidR="00000000" w:rsidRPr="004A42A8" w:rsidP="004A42A8">
      <w:pPr>
        <w:pStyle w:val="ListBullet"/>
      </w:pPr>
      <w:r w:rsidRPr="004A42A8">
        <w:t>using various lubrication techniques</w:t>
      </w:r>
    </w:p>
    <w:p w:rsidR="00000000" w:rsidRPr="004A42A8" w:rsidP="004A42A8">
      <w:pPr>
        <w:pStyle w:val="ListBullet"/>
      </w:pPr>
      <w:r w:rsidRPr="004A42A8">
        <w:t>carrying out rig ma</w:t>
      </w:r>
      <w:r w:rsidRPr="004A42A8">
        <w:t>intenance</w:t>
      </w:r>
    </w:p>
    <w:p w:rsidR="00000000" w:rsidRPr="004A42A8" w:rsidP="004A42A8">
      <w:pPr>
        <w:pStyle w:val="ListBullet"/>
      </w:pPr>
      <w:r w:rsidRPr="004A42A8">
        <w:t>identifying thread types</w:t>
      </w:r>
    </w:p>
    <w:p w:rsidR="00000000" w:rsidRPr="004A42A8" w:rsidP="004A42A8">
      <w:pPr>
        <w:pStyle w:val="ListBullet"/>
      </w:pPr>
      <w:r w:rsidRPr="004A42A8">
        <w:t>using torque values for differing thread typesmilling operations</w:t>
      </w:r>
    </w:p>
    <w:p w:rsidR="00000000" w:rsidRPr="004A42A8" w:rsidP="004A42A8">
      <w:pPr>
        <w:pStyle w:val="ListBullet"/>
      </w:pPr>
      <w:r w:rsidRPr="004A42A8">
        <w:t>performing conversion between metric and imperial</w:t>
      </w:r>
    </w:p>
    <w:p w:rsidR="00000000" w:rsidRPr="004A42A8" w:rsidP="004A42A8">
      <w:pPr>
        <w:pStyle w:val="ListBullet"/>
      </w:pPr>
      <w:r w:rsidRPr="004A42A8">
        <w:t>using range of numerical calculations and measurements including:</w:t>
      </w:r>
    </w:p>
    <w:p w:rsidR="00000000" w:rsidRPr="004A42A8" w:rsidP="004A42A8">
      <w:pPr>
        <w:pStyle w:val="ListBullet2"/>
      </w:pPr>
      <w:r w:rsidRPr="004A42A8">
        <w:t>length</w:t>
      </w:r>
    </w:p>
    <w:p w:rsidR="00000000" w:rsidRPr="004A42A8" w:rsidP="004A42A8">
      <w:pPr>
        <w:pStyle w:val="ListBullet2"/>
      </w:pPr>
      <w:r w:rsidRPr="004A42A8">
        <w:t>quantities</w:t>
      </w:r>
    </w:p>
    <w:p w:rsidR="00000000" w:rsidRPr="004A42A8" w:rsidP="004A42A8">
      <w:pPr>
        <w:pStyle w:val="ListBullet2"/>
      </w:pPr>
      <w:r w:rsidRPr="004A42A8">
        <w:t>volumes</w:t>
      </w:r>
    </w:p>
    <w:p w:rsidR="00000000" w:rsidRPr="004A42A8" w:rsidP="004A42A8">
      <w:pPr>
        <w:pStyle w:val="ListBullet2"/>
      </w:pPr>
      <w:r w:rsidRPr="004A42A8">
        <w:t>conversion rates</w:t>
      </w:r>
    </w:p>
    <w:p w:rsidR="00000000" w:rsidRPr="004A42A8" w:rsidP="004A42A8">
      <w:pPr>
        <w:pStyle w:val="ListBullet"/>
      </w:pPr>
      <w:r w:rsidRPr="004A42A8">
        <w:t>carrying out well control</w:t>
      </w:r>
    </w:p>
    <w:p w:rsidR="00000000" w:rsidRPr="004A42A8" w:rsidP="004A42A8">
      <w:pPr>
        <w:pStyle w:val="AllowPageBreak"/>
      </w:pPr>
    </w:p>
    <w:p w:rsidR="00000000" w:rsidRPr="004A42A8" w:rsidP="004A42A8">
      <w:pPr>
        <w:pStyle w:val="Heading1"/>
      </w:pPr>
      <w:bookmarkStart w:id="4" w:name="O_680968"/>
      <w:bookmarkEnd w:id="4"/>
      <w:r w:rsidRPr="004A42A8">
        <w:t>Assessment Conditions</w:t>
      </w:r>
    </w:p>
    <w:p w:rsidR="00000000" w:rsidRPr="004A42A8" w:rsidP="004A42A8">
      <w:pPr>
        <w:pStyle w:val="ListBullet"/>
      </w:pPr>
      <w:r w:rsidRPr="004A42A8">
        <w:t xml:space="preserve">An assessor of this unit must satisfy the requirements of the NVR/AQTF or their successors; and Industry regulations for certification and licensing; and, </w:t>
      </w:r>
    </w:p>
    <w:p w:rsidR="00000000" w:rsidRPr="004A42A8" w:rsidP="004A42A8">
      <w:pPr>
        <w:pStyle w:val="ListBullet"/>
      </w:pPr>
      <w:r w:rsidRPr="004A42A8">
        <w:t>this unit is bes</w:t>
      </w:r>
      <w:r w:rsidRPr="004A42A8">
        <w:t>t assessed in the context of this sector’s work environment;</w:t>
      </w:r>
    </w:p>
    <w:p w:rsidR="00000000" w:rsidRPr="004A42A8" w:rsidP="004A42A8">
      <w:pPr>
        <w:pStyle w:val="ListBullet"/>
      </w:pPr>
      <w:r w:rsidRPr="004A42A8">
        <w:t>where personal safety or environmental damage are limiting factors, assessment may occur in a simulated environment provided it is realistic and sufficiently rigorous to cover all aspects of this</w:t>
      </w:r>
      <w:r w:rsidRPr="004A42A8">
        <w:t xml:space="preserve"> sector’s workplace performance, including environment, task skills, task management skills, contingency management skills and job role environment skills; and,</w:t>
      </w:r>
    </w:p>
    <w:p w:rsidR="00000000" w:rsidRPr="004A42A8" w:rsidP="004A42A8">
      <w:pPr>
        <w:pStyle w:val="ListBullet"/>
      </w:pPr>
      <w:r w:rsidRPr="004A42A8">
        <w:t>this unit must be assessed in compliance with relevant legislation/regulation and using policie</w:t>
      </w:r>
      <w:r w:rsidRPr="004A42A8">
        <w:t>s, procedures, processes and operational manuals directly related to the industry sector for which it is being assessed; and,</w:t>
      </w:r>
    </w:p>
    <w:p w:rsidR="00000000" w:rsidRPr="004A42A8" w:rsidP="004A42A8">
      <w:pPr>
        <w:pStyle w:val="ListBullet"/>
      </w:pPr>
      <w:r w:rsidRPr="004A42A8">
        <w:t>assessment may be conducted in conjunction with the assessment of other Units of Competency; and,</w:t>
      </w:r>
    </w:p>
    <w:p w:rsidR="00000000" w:rsidRPr="004A42A8" w:rsidP="004A42A8">
      <w:pPr>
        <w:pStyle w:val="ListBullet"/>
      </w:pPr>
      <w:r w:rsidRPr="004A42A8">
        <w:t>assessment must confirm consiste</w:t>
      </w:r>
      <w:r w:rsidRPr="004A42A8">
        <w:t>nt performance can be applied in a range of relevant workplace circumstances; and,</w:t>
      </w:r>
    </w:p>
    <w:p w:rsidR="00000000" w:rsidRPr="004A42A8" w:rsidP="004A42A8">
      <w:pPr>
        <w:pStyle w:val="ListBullet"/>
      </w:pPr>
      <w:r w:rsidRPr="004A42A8">
        <w:t>assessors must demonstrate the performance evidence, and knowledge evidence as outlined in this Unit of Competency, and through the minimum years of current* work experience</w:t>
      </w:r>
      <w:r w:rsidRPr="004A42A8">
        <w:t xml:space="preserve"> specified below in an Industry sector relevant to the outcomes of the unit; or,</w:t>
      </w:r>
    </w:p>
    <w:p w:rsidR="00000000" w:rsidRPr="004A42A8" w:rsidP="004A42A8">
      <w:pPr>
        <w:pStyle w:val="ListBullet"/>
      </w:pPr>
      <w:r w:rsidRPr="004A42A8">
        <w:t>where the assessor does not meet experience requirements a co-assessment or partnership arrangement must ex</w:t>
      </w:r>
      <w:r w:rsidRPr="004A42A8">
        <w:t>ist between the qualified assessor and an Industry subject matter expert. The Industry subject matter expert should hold the unit being assessed (or an equivalent unit) and/or demonstrate equivalence of skills and knowledge at the unit level. An Industry t</w:t>
      </w:r>
      <w:r w:rsidRPr="004A42A8">
        <w:t>echnical expert must also demonstrate skills and knowledge from the minimum years of current work experience specified below in the Industry sector, including time spent in roles related to the unit being assessed; and,</w:t>
      </w:r>
    </w:p>
    <w:p w:rsidR="00000000" w:rsidRPr="004A42A8" w:rsidP="004A42A8">
      <w:pPr>
        <w:pStyle w:val="ListBullet"/>
      </w:pPr>
      <w:r w:rsidRPr="004A42A8">
        <w:t>assessor and Industry subject matter</w:t>
      </w:r>
      <w:r w:rsidRPr="004A42A8">
        <w:t xml:space="preserve">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42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SubHeading1"/>
              <w:rPr>
                <w:lang w:val="en-NZ"/>
              </w:rPr>
            </w:pPr>
            <w:r w:rsidRPr="004A42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SubHeading1"/>
              <w:rPr>
                <w:lang w:val="en-NZ"/>
              </w:rPr>
            </w:pPr>
            <w:r w:rsidRPr="004A42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SubHeading1"/>
              <w:rPr>
                <w:lang w:val="en-NZ"/>
              </w:rPr>
            </w:pPr>
            <w:r w:rsidRPr="004A42A8">
              <w:t>Required assessor or Industry subject matter expert experience</w:t>
            </w:r>
          </w:p>
        </w:tc>
      </w:tr>
      <w:tr w:rsidTr="004A42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1 Year</w:t>
            </w:r>
          </w:p>
        </w:tc>
      </w:tr>
      <w:tr w:rsidTr="004A42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2 Years</w:t>
            </w:r>
          </w:p>
        </w:tc>
      </w:tr>
      <w:tr w:rsidTr="004A42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3 Years</w:t>
            </w:r>
          </w:p>
        </w:tc>
      </w:tr>
      <w:tr w:rsidTr="004A42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5 Years</w:t>
            </w:r>
          </w:p>
        </w:tc>
      </w:tr>
      <w:tr w:rsidTr="004A42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A8">
            <w:pPr>
              <w:pStyle w:val="BodyText"/>
              <w:rPr>
                <w:lang w:val="en-NZ"/>
              </w:rPr>
            </w:pPr>
            <w:r w:rsidRPr="004A42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2A8" w:rsidP="004A42A8">
            <w:pPr>
              <w:pStyle w:val="BodyText"/>
            </w:pPr>
            <w:r w:rsidRPr="004A42A8">
              <w:t>Where this Unit is being assessed outside of the Resources and Infrastructure Sectors assessor and/or Industry subject matter expert experience should be in-line with industry standards for the sector in which it is being assessed and where no Industry sta</w:t>
            </w:r>
            <w:r w:rsidRPr="004A42A8">
              <w:t>ndard is specified should comply with any relevant regulation.</w:t>
            </w:r>
          </w:p>
        </w:tc>
      </w:tr>
    </w:tbl>
    <w:p w:rsidR="00000000" w:rsidRPr="004A42A8" w:rsidP="004A42A8">
      <w:pPr>
        <w:pStyle w:val="BodyText"/>
      </w:pPr>
      <w:r w:rsidRPr="004A42A8">
        <w:t>*Assessors can demonstrate current work experience through employment within Industry in a role relevant to the outcomes of the Unit; or, for external assessors this can be demonstrated throu</w:t>
      </w:r>
      <w:r w:rsidRPr="004A42A8">
        <w:t>gh exposure to Industry by conducting frequent site assessments across various locations.</w:t>
      </w:r>
    </w:p>
    <w:p w:rsidR="00000000" w:rsidRPr="004A42A8" w:rsidP="004A42A8">
      <w:pPr>
        <w:pStyle w:val="BodyText"/>
      </w:pPr>
      <w:r w:rsidRPr="004A42A8">
        <w:t>**Where a unit is being delivered outside of a Qualification the first numeric character in the Unit code should be considered to indicate the AQF level</w:t>
      </w:r>
    </w:p>
    <w:p w:rsidR="00000000" w:rsidRPr="004A42A8" w:rsidP="004A42A8">
      <w:pPr>
        <w:pStyle w:val="AllowPageBreak"/>
      </w:pPr>
    </w:p>
    <w:p w:rsidR="00000000" w:rsidRPr="004A42A8" w:rsidP="004A42A8">
      <w:pPr>
        <w:pStyle w:val="Heading1"/>
      </w:pPr>
      <w:bookmarkStart w:id="5" w:name="O_680979"/>
      <w:bookmarkEnd w:id="5"/>
      <w:r w:rsidRPr="004A42A8">
        <w:t>Links</w:t>
      </w:r>
    </w:p>
    <w:p w:rsidR="00000000" w:rsidRPr="004A42A8" w:rsidP="004A42A8">
      <w:pPr>
        <w:pStyle w:val="BodyText"/>
      </w:pPr>
      <w:r w:rsidRPr="004A42A8">
        <w:t>SkillsDMC RII Companion Volumes - http://www.skillsdmc.com.au/</w:t>
      </w:r>
    </w:p>
    <w:p w:rsidR="00000000" w:rsidRPr="004A42A8" w:rsidP="004A42A8"/>
    <w:sectPr w:rsidSect="004A42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rsidRPr="00303A61" w:rsidP="00303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1" w:rsidP="004A4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3A61" w:rsidP="004A42A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303A61" w:rsidP="004A4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rsidRPr="00303A61" w:rsidP="00303A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1" w:rsidRPr="002D2AF8" w:rsidP="004A42A8">
    <w:pPr>
      <w:pStyle w:val="Header"/>
      <w:framePr w:wrap="around"/>
    </w:pPr>
    <w:r>
      <w:fldChar w:fldCharType="begin"/>
    </w:r>
    <w:r>
      <w:instrText xml:space="preserve"> TITLE   \* MERGEFORMAT </w:instrText>
    </w:r>
    <w:r>
      <w:fldChar w:fldCharType="separate"/>
    </w:r>
    <w:r>
      <w:t>Assessment Requirements for RIIWSV201D Perform well servicing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303A61" w:rsidP="004A4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4E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709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7CC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2A8"/>
    <w:pPr>
      <w:spacing w:before="360" w:after="60"/>
      <w:outlineLvl w:val="0"/>
    </w:pPr>
    <w:rPr>
      <w:sz w:val="32"/>
    </w:rPr>
  </w:style>
  <w:style w:type="paragraph" w:styleId="Heading2">
    <w:name w:val="heading 2"/>
    <w:basedOn w:val="HeadingBase"/>
    <w:next w:val="BodyText"/>
    <w:link w:val="Heading2Char"/>
    <w:qFormat/>
    <w:rsid w:val="004A42A8"/>
    <w:pPr>
      <w:keepLines/>
      <w:spacing w:before="240" w:after="120"/>
      <w:outlineLvl w:val="1"/>
    </w:pPr>
    <w:rPr>
      <w:sz w:val="28"/>
      <w:szCs w:val="40"/>
    </w:rPr>
  </w:style>
  <w:style w:type="paragraph" w:styleId="Heading3">
    <w:name w:val="heading 3"/>
    <w:basedOn w:val="HeadingBase"/>
    <w:next w:val="BodyText"/>
    <w:link w:val="Heading3Char"/>
    <w:qFormat/>
    <w:rsid w:val="004A42A8"/>
    <w:pPr>
      <w:spacing w:before="180" w:after="120"/>
      <w:outlineLvl w:val="2"/>
    </w:pPr>
    <w:rPr>
      <w:spacing w:val="-10"/>
      <w:kern w:val="32"/>
    </w:rPr>
  </w:style>
  <w:style w:type="paragraph" w:styleId="Heading4">
    <w:name w:val="heading 4"/>
    <w:basedOn w:val="HeadingBase"/>
    <w:next w:val="BodyText"/>
    <w:link w:val="Heading4Char"/>
    <w:qFormat/>
    <w:rsid w:val="004A42A8"/>
    <w:pPr>
      <w:spacing w:before="160" w:after="120"/>
      <w:outlineLvl w:val="3"/>
    </w:pPr>
    <w:rPr>
      <w:sz w:val="22"/>
    </w:rPr>
  </w:style>
  <w:style w:type="paragraph" w:styleId="Heading5">
    <w:name w:val="heading 5"/>
    <w:basedOn w:val="HeadingBase"/>
    <w:next w:val="Normal"/>
    <w:link w:val="Heading5Char"/>
    <w:qFormat/>
    <w:rsid w:val="004A42A8"/>
    <w:pPr>
      <w:spacing w:before="80"/>
      <w:outlineLvl w:val="4"/>
    </w:pPr>
    <w:rPr>
      <w:color w:val="918585"/>
      <w:sz w:val="20"/>
    </w:rPr>
  </w:style>
  <w:style w:type="paragraph" w:styleId="Heading6">
    <w:name w:val="heading 6"/>
    <w:basedOn w:val="HeadingBase"/>
    <w:next w:val="Normal"/>
    <w:link w:val="Heading6Char"/>
    <w:qFormat/>
    <w:rsid w:val="004A42A8"/>
    <w:pPr>
      <w:spacing w:before="60"/>
      <w:outlineLvl w:val="5"/>
    </w:pPr>
    <w:rPr>
      <w:color w:val="918585"/>
      <w:sz w:val="20"/>
    </w:rPr>
  </w:style>
  <w:style w:type="paragraph" w:styleId="Heading7">
    <w:name w:val="heading 7"/>
    <w:basedOn w:val="Normal"/>
    <w:next w:val="Normal"/>
    <w:link w:val="Heading7Char"/>
    <w:qFormat/>
    <w:rsid w:val="004A42A8"/>
    <w:pPr>
      <w:ind w:left="720"/>
      <w:outlineLvl w:val="6"/>
    </w:pPr>
    <w:rPr>
      <w:i/>
    </w:rPr>
  </w:style>
  <w:style w:type="paragraph" w:styleId="Heading8">
    <w:name w:val="heading 8"/>
    <w:basedOn w:val="Normal"/>
    <w:next w:val="Normal"/>
    <w:link w:val="Heading8Char"/>
    <w:qFormat/>
    <w:rsid w:val="004A42A8"/>
    <w:pPr>
      <w:ind w:left="720"/>
      <w:outlineLvl w:val="7"/>
    </w:pPr>
    <w:rPr>
      <w:i/>
    </w:rPr>
  </w:style>
  <w:style w:type="paragraph" w:styleId="Heading9">
    <w:name w:val="heading 9"/>
    <w:basedOn w:val="Normal"/>
    <w:next w:val="Normal"/>
    <w:link w:val="Heading9Char"/>
    <w:qFormat/>
    <w:rsid w:val="004A42A8"/>
    <w:pPr>
      <w:ind w:left="720"/>
      <w:outlineLvl w:val="8"/>
    </w:pPr>
    <w:rPr>
      <w:i/>
    </w:rPr>
  </w:style>
  <w:style w:type="character" w:default="1" w:styleId="DefaultParagraphFont">
    <w:name w:val="Default Paragraph Font"/>
    <w:uiPriority w:val="1"/>
    <w:unhideWhenUsed/>
    <w:rsid w:val="004A4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2A8"/>
  </w:style>
  <w:style w:type="character" w:customStyle="1" w:styleId="Heading1Char">
    <w:name w:val="Heading 1 Char"/>
    <w:basedOn w:val="DefaultParagraphFont"/>
    <w:link w:val="Heading1"/>
    <w:rsid w:val="004A42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42A8"/>
    <w:rPr>
      <w:rFonts w:ascii="Times New Roman" w:eastAsia="Times New Roman" w:hAnsi="Times New Roman" w:cs="Times New Roman"/>
      <w:b/>
      <w:szCs w:val="20"/>
      <w:lang w:eastAsia="en-US"/>
    </w:rPr>
  </w:style>
  <w:style w:type="paragraph" w:styleId="BodyText">
    <w:name w:val="Body Text"/>
    <w:basedOn w:val="Normal"/>
    <w:link w:val="BodyTextChar"/>
    <w:rsid w:val="004A42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2A8"/>
    <w:rPr>
      <w:rFonts w:ascii="Times New Roman" w:eastAsia="Times New Roman" w:hAnsi="Times New Roman" w:cs="Times New Roman"/>
      <w:sz w:val="24"/>
      <w:lang w:eastAsia="en-US"/>
    </w:rPr>
  </w:style>
  <w:style w:type="paragraph" w:styleId="ListBullet">
    <w:name w:val="List Bullet"/>
    <w:basedOn w:val="List"/>
    <w:rsid w:val="004A42A8"/>
    <w:pPr>
      <w:numPr>
        <w:numId w:val="14"/>
      </w:numPr>
      <w:tabs>
        <w:tab w:val="clear" w:pos="340"/>
      </w:tabs>
      <w:spacing w:before="40" w:after="40"/>
    </w:pPr>
  </w:style>
  <w:style w:type="paragraph" w:styleId="ListBullet2">
    <w:name w:val="List Bullet 2"/>
    <w:basedOn w:val="List2"/>
    <w:rsid w:val="004A42A8"/>
    <w:pPr>
      <w:numPr>
        <w:numId w:val="15"/>
      </w:numPr>
      <w:tabs>
        <w:tab w:val="clear" w:pos="680"/>
      </w:tabs>
    </w:pPr>
  </w:style>
  <w:style w:type="paragraph" w:customStyle="1" w:styleId="SuperHeading">
    <w:name w:val="SuperHeading"/>
    <w:basedOn w:val="Normal"/>
    <w:rsid w:val="004A42A8"/>
    <w:pPr>
      <w:spacing w:before="240" w:after="120"/>
      <w:outlineLvl w:val="0"/>
    </w:pPr>
    <w:rPr>
      <w:rFonts w:ascii="Times New Roman" w:hAnsi="Times New Roman"/>
      <w:b/>
      <w:sz w:val="32"/>
    </w:rPr>
  </w:style>
  <w:style w:type="paragraph" w:customStyle="1" w:styleId="AllowPageBreak">
    <w:name w:val="AllowPageBreak"/>
    <w:rsid w:val="004A42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A42A8"/>
    <w:pPr>
      <w:spacing w:before="240" w:after="60"/>
    </w:pPr>
    <w:rPr>
      <w:color w:val="918585"/>
      <w:sz w:val="22"/>
    </w:rPr>
  </w:style>
  <w:style w:type="paragraph" w:styleId="ListBullet3">
    <w:name w:val="List Bullet 3"/>
    <w:basedOn w:val="List3"/>
    <w:rsid w:val="004A42A8"/>
    <w:pPr>
      <w:numPr>
        <w:numId w:val="3"/>
      </w:numPr>
      <w:tabs>
        <w:tab w:val="clear" w:pos="1021"/>
      </w:tabs>
      <w:ind w:left="1037" w:hanging="357"/>
    </w:pPr>
  </w:style>
  <w:style w:type="character" w:customStyle="1" w:styleId="Heading2Char">
    <w:name w:val="Heading 2 Char"/>
    <w:basedOn w:val="DefaultParagraphFont"/>
    <w:link w:val="Heading2"/>
    <w:rsid w:val="004A4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2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4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2A8"/>
    <w:rPr>
      <w:rFonts w:ascii="Courier New" w:eastAsia="Times New Roman" w:hAnsi="Courier New" w:cs="Times New Roman"/>
      <w:i/>
      <w:szCs w:val="20"/>
      <w:lang w:eastAsia="en-US"/>
    </w:rPr>
  </w:style>
  <w:style w:type="paragraph" w:customStyle="1" w:styleId="HeadingBase">
    <w:name w:val="Heading Base"/>
    <w:rsid w:val="004A4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2A8"/>
    <w:pPr>
      <w:tabs>
        <w:tab w:val="right" w:leader="dot" w:pos="9072"/>
      </w:tabs>
      <w:ind w:left="567"/>
    </w:pPr>
    <w:rPr>
      <w:szCs w:val="22"/>
    </w:rPr>
  </w:style>
  <w:style w:type="paragraph" w:customStyle="1" w:styleId="TOCBase">
    <w:name w:val="TOC Base"/>
    <w:rsid w:val="004A4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2A8"/>
    <w:pPr>
      <w:tabs>
        <w:tab w:val="right" w:leader="dot" w:pos="9072"/>
      </w:tabs>
      <w:spacing w:before="40" w:after="40"/>
      <w:ind w:left="284"/>
    </w:pPr>
    <w:rPr>
      <w:rFonts w:ascii="Times New Roman" w:hAnsi="Times New Roman"/>
    </w:rPr>
  </w:style>
  <w:style w:type="paragraph" w:styleId="TOC1">
    <w:name w:val="toc 1"/>
    <w:basedOn w:val="TOCBase"/>
    <w:next w:val="Normal"/>
    <w:rsid w:val="004A4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2A8"/>
    <w:rPr>
      <w:rFonts w:ascii="Times New Roman" w:eastAsia="Times New Roman" w:hAnsi="Times New Roman" w:cs="Times New Roman"/>
      <w:sz w:val="16"/>
      <w:lang w:eastAsia="en-US"/>
    </w:rPr>
  </w:style>
  <w:style w:type="paragraph" w:styleId="Title">
    <w:name w:val="Title"/>
    <w:basedOn w:val="HeadingBase"/>
    <w:link w:val="TitleChar"/>
    <w:qFormat/>
    <w:rsid w:val="004A42A8"/>
    <w:pPr>
      <w:spacing w:before="5040"/>
      <w:jc w:val="center"/>
    </w:pPr>
    <w:rPr>
      <w:sz w:val="48"/>
      <w:szCs w:val="72"/>
      <w:lang w:val="en-US"/>
    </w:rPr>
  </w:style>
  <w:style w:type="character" w:customStyle="1" w:styleId="TitleChar">
    <w:name w:val="Title Char"/>
    <w:basedOn w:val="DefaultParagraphFont"/>
    <w:link w:val="Title"/>
    <w:rsid w:val="004A4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2A8"/>
    <w:pPr>
      <w:tabs>
        <w:tab w:val="left" w:pos="3600"/>
        <w:tab w:val="left" w:pos="3958"/>
      </w:tabs>
    </w:pPr>
  </w:style>
  <w:style w:type="paragraph" w:styleId="List">
    <w:name w:val="List"/>
    <w:basedOn w:val="BodyText"/>
    <w:next w:val="BodyText"/>
    <w:rsid w:val="004A42A8"/>
    <w:pPr>
      <w:tabs>
        <w:tab w:val="left" w:pos="340"/>
      </w:tabs>
      <w:spacing w:before="60" w:after="60"/>
      <w:ind w:left="340" w:hanging="340"/>
    </w:pPr>
  </w:style>
  <w:style w:type="paragraph" w:customStyle="1" w:styleId="Note">
    <w:name w:val="Note"/>
    <w:basedOn w:val="BodyText"/>
    <w:rsid w:val="004A42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2A8"/>
    <w:rPr>
      <w:b/>
      <w:spacing w:val="0"/>
    </w:rPr>
  </w:style>
  <w:style w:type="paragraph" w:customStyle="1" w:styleId="SuperTitle">
    <w:name w:val="SuperTitle"/>
    <w:basedOn w:val="Title"/>
    <w:rsid w:val="004A42A8"/>
    <w:pPr>
      <w:framePr w:wrap="auto" w:hAnchor="text" w:y="6049"/>
    </w:pPr>
    <w:rPr>
      <w:color w:val="000000"/>
      <w:sz w:val="40"/>
    </w:rPr>
  </w:style>
  <w:style w:type="paragraph" w:customStyle="1" w:styleId="TOCTitle">
    <w:name w:val="TOCTitle"/>
    <w:basedOn w:val="Heading1"/>
    <w:rsid w:val="004A42A8"/>
    <w:pPr>
      <w:spacing w:after="240"/>
      <w:jc w:val="center"/>
      <w:outlineLvl w:val="9"/>
    </w:pPr>
    <w:rPr>
      <w:caps/>
    </w:rPr>
  </w:style>
  <w:style w:type="paragraph" w:customStyle="1" w:styleId="Version">
    <w:name w:val="Version"/>
    <w:rsid w:val="004A4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2A8"/>
    <w:pPr>
      <w:keepNext w:val="0"/>
      <w:tabs>
        <w:tab w:val="right" w:pos="4176"/>
      </w:tabs>
      <w:ind w:left="198" w:hanging="198"/>
    </w:pPr>
    <w:rPr>
      <w:rFonts w:ascii="Garamond" w:hAnsi="Garamond"/>
    </w:rPr>
  </w:style>
  <w:style w:type="paragraph" w:styleId="IndexHeading">
    <w:name w:val="index heading"/>
    <w:basedOn w:val="Normal"/>
    <w:next w:val="Index1"/>
    <w:semiHidden/>
    <w:rsid w:val="004A42A8"/>
    <w:pPr>
      <w:spacing w:before="120" w:after="120"/>
    </w:pPr>
    <w:rPr>
      <w:rFonts w:ascii="Arial" w:hAnsi="Arial"/>
      <w:b/>
      <w:color w:val="918585"/>
      <w:sz w:val="24"/>
    </w:rPr>
  </w:style>
  <w:style w:type="paragraph" w:styleId="Header">
    <w:name w:val="header"/>
    <w:basedOn w:val="Normal"/>
    <w:link w:val="HeaderChar"/>
    <w:rsid w:val="004A4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2A8"/>
    <w:rPr>
      <w:rFonts w:ascii="Times New Roman" w:eastAsia="Times New Roman" w:hAnsi="Times New Roman" w:cs="Times New Roman"/>
      <w:sz w:val="16"/>
      <w:szCs w:val="20"/>
      <w:lang w:val="en-GB" w:eastAsia="en-US"/>
    </w:rPr>
  </w:style>
  <w:style w:type="paragraph" w:customStyle="1" w:styleId="Chapter">
    <w:name w:val="Chapter"/>
    <w:basedOn w:val="Normal"/>
    <w:rsid w:val="004A42A8"/>
    <w:pPr>
      <w:spacing w:before="240"/>
    </w:pPr>
    <w:rPr>
      <w:rFonts w:ascii="Times New Roman" w:hAnsi="Times New Roman"/>
      <w:smallCaps/>
      <w:spacing w:val="80"/>
      <w:sz w:val="28"/>
    </w:rPr>
  </w:style>
  <w:style w:type="paragraph" w:customStyle="1" w:styleId="InChapter">
    <w:name w:val="InChapter"/>
    <w:basedOn w:val="Heading3"/>
    <w:rsid w:val="004A42A8"/>
    <w:pPr>
      <w:spacing w:after="240"/>
      <w:outlineLvl w:val="9"/>
    </w:pPr>
    <w:rPr>
      <w:noProof/>
    </w:rPr>
  </w:style>
  <w:style w:type="paragraph" w:styleId="Index2">
    <w:name w:val="index 2"/>
    <w:basedOn w:val="Normal"/>
    <w:next w:val="Normal"/>
    <w:semiHidden/>
    <w:rsid w:val="004A42A8"/>
    <w:pPr>
      <w:tabs>
        <w:tab w:val="right" w:pos="4176"/>
      </w:tabs>
      <w:ind w:left="568" w:hanging="284"/>
    </w:pPr>
    <w:rPr>
      <w:rFonts w:ascii="Garamond" w:hAnsi="Garamond"/>
    </w:rPr>
  </w:style>
  <w:style w:type="paragraph" w:customStyle="1" w:styleId="Byline">
    <w:name w:val="Byline"/>
    <w:rsid w:val="004A4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2A8"/>
    <w:pPr>
      <w:tabs>
        <w:tab w:val="clear" w:pos="3600"/>
        <w:tab w:val="clear" w:pos="3958"/>
      </w:tabs>
      <w:jc w:val="right"/>
    </w:pPr>
  </w:style>
  <w:style w:type="character" w:styleId="Emphasis">
    <w:name w:val="Emphasis"/>
    <w:basedOn w:val="DefaultParagraphFont"/>
    <w:qFormat/>
    <w:rsid w:val="004A42A8"/>
    <w:rPr>
      <w:i/>
    </w:rPr>
  </w:style>
  <w:style w:type="paragraph" w:styleId="Caption">
    <w:name w:val="caption"/>
    <w:basedOn w:val="BodyText"/>
    <w:next w:val="Normal"/>
    <w:qFormat/>
    <w:rsid w:val="004A42A8"/>
    <w:pPr>
      <w:framePr w:w="2268" w:hSpace="181" w:vSpace="181" w:wrap="around" w:vAnchor="text" w:hAnchor="page" w:x="1135" w:y="285" w:anchorLock="1"/>
    </w:pPr>
    <w:rPr>
      <w:i/>
    </w:rPr>
  </w:style>
  <w:style w:type="paragraph" w:customStyle="1" w:styleId="MiniTOCTitle">
    <w:name w:val="MiniTOCTitle"/>
    <w:basedOn w:val="Heading4"/>
    <w:rsid w:val="004A42A8"/>
    <w:pPr>
      <w:spacing w:before="240"/>
      <w:outlineLvl w:val="9"/>
    </w:pPr>
    <w:rPr>
      <w:noProof/>
      <w:sz w:val="24"/>
    </w:rPr>
  </w:style>
  <w:style w:type="paragraph" w:customStyle="1" w:styleId="MiniTOCItem">
    <w:name w:val="MiniTOCItem"/>
    <w:basedOn w:val="ListBullet"/>
    <w:rsid w:val="004A42A8"/>
    <w:pPr>
      <w:numPr>
        <w:numId w:val="0"/>
      </w:numPr>
      <w:tabs>
        <w:tab w:val="right" w:leader="dot" w:pos="6521"/>
      </w:tabs>
      <w:spacing w:before="0" w:after="0"/>
    </w:pPr>
  </w:style>
  <w:style w:type="paragraph" w:customStyle="1" w:styleId="TOFTitle">
    <w:name w:val="TOFTitle"/>
    <w:basedOn w:val="TOCTitle"/>
    <w:rsid w:val="004A42A8"/>
  </w:style>
  <w:style w:type="paragraph" w:styleId="TableofFigures">
    <w:name w:val="table of figures"/>
    <w:basedOn w:val="Normal"/>
    <w:next w:val="Normal"/>
    <w:semiHidden/>
    <w:rsid w:val="004A42A8"/>
    <w:pPr>
      <w:tabs>
        <w:tab w:val="right" w:leader="dot" w:pos="9072"/>
      </w:tabs>
      <w:ind w:left="970" w:hanging="403"/>
    </w:pPr>
    <w:rPr>
      <w:rFonts w:ascii="Times New Roman" w:hAnsi="Times New Roman"/>
      <w:b/>
    </w:rPr>
  </w:style>
  <w:style w:type="paragraph" w:styleId="ListNumber">
    <w:name w:val="List Number"/>
    <w:basedOn w:val="List"/>
    <w:rsid w:val="004A42A8"/>
    <w:pPr>
      <w:numPr>
        <w:numId w:val="12"/>
      </w:numPr>
    </w:pPr>
  </w:style>
  <w:style w:type="character" w:customStyle="1" w:styleId="WingdingSymbols">
    <w:name w:val="Wingding Symbols"/>
    <w:rsid w:val="004A42A8"/>
    <w:rPr>
      <w:rFonts w:ascii="Wingdings" w:hAnsi="Wingdings"/>
    </w:rPr>
  </w:style>
  <w:style w:type="paragraph" w:customStyle="1" w:styleId="TableHeading">
    <w:name w:val="Table Heading"/>
    <w:basedOn w:val="HeadingBase"/>
    <w:rsid w:val="004A42A8"/>
    <w:pPr>
      <w:keepLines/>
      <w:pBdr>
        <w:bottom w:val="single" w:sz="6" w:space="1" w:color="918585"/>
      </w:pBdr>
      <w:spacing w:before="240"/>
    </w:pPr>
  </w:style>
  <w:style w:type="character" w:customStyle="1" w:styleId="HotSpot">
    <w:name w:val="HotSpot"/>
    <w:rsid w:val="004A42A8"/>
    <w:rPr>
      <w:color w:val="0033CC"/>
      <w:u w:val="none"/>
    </w:rPr>
  </w:style>
  <w:style w:type="paragraph" w:customStyle="1" w:styleId="BodyTextRight">
    <w:name w:val="Body Text Right"/>
    <w:basedOn w:val="BodyText"/>
    <w:rsid w:val="004A42A8"/>
    <w:pPr>
      <w:spacing w:before="0" w:after="0"/>
      <w:jc w:val="right"/>
    </w:pPr>
  </w:style>
  <w:style w:type="paragraph" w:styleId="Index3">
    <w:name w:val="index 3"/>
    <w:basedOn w:val="ListNumber2"/>
    <w:next w:val="Normal"/>
    <w:semiHidden/>
    <w:rsid w:val="004A42A8"/>
    <w:pPr>
      <w:numPr>
        <w:numId w:val="0"/>
      </w:numPr>
      <w:tabs>
        <w:tab w:val="right" w:leader="dot" w:pos="4176"/>
      </w:tabs>
    </w:pPr>
  </w:style>
  <w:style w:type="paragraph" w:styleId="ListNumber2">
    <w:name w:val="List Number 2"/>
    <w:basedOn w:val="List2"/>
    <w:rsid w:val="004A42A8"/>
    <w:pPr>
      <w:numPr>
        <w:numId w:val="11"/>
      </w:numPr>
      <w:tabs>
        <w:tab w:val="clear" w:pos="1060"/>
      </w:tabs>
    </w:pPr>
  </w:style>
  <w:style w:type="paragraph" w:customStyle="1" w:styleId="MarginNote">
    <w:name w:val="Margin Note"/>
    <w:basedOn w:val="BodyText"/>
    <w:rsid w:val="004A4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2A8"/>
    <w:rPr>
      <w:sz w:val="32"/>
    </w:rPr>
  </w:style>
  <w:style w:type="paragraph" w:customStyle="1" w:styleId="HeadingProcedure">
    <w:name w:val="Heading Procedure"/>
    <w:basedOn w:val="HeadingBase"/>
    <w:next w:val="Normal"/>
    <w:rsid w:val="004A42A8"/>
    <w:pPr>
      <w:tabs>
        <w:tab w:val="left" w:pos="0"/>
      </w:tabs>
      <w:spacing w:before="120" w:after="60"/>
    </w:pPr>
    <w:rPr>
      <w:i/>
      <w:color w:val="918585"/>
      <w:sz w:val="22"/>
    </w:rPr>
  </w:style>
  <w:style w:type="paragraph" w:customStyle="1" w:styleId="TableBodyText">
    <w:name w:val="Table Body Text"/>
    <w:basedOn w:val="BodyText"/>
    <w:rsid w:val="004A42A8"/>
    <w:pPr>
      <w:spacing w:before="60" w:after="60"/>
    </w:pPr>
  </w:style>
  <w:style w:type="paragraph" w:styleId="ListContinue">
    <w:name w:val="List Continue"/>
    <w:basedOn w:val="List"/>
    <w:rsid w:val="004A42A8"/>
    <w:pPr>
      <w:ind w:firstLine="0"/>
    </w:pPr>
  </w:style>
  <w:style w:type="paragraph" w:customStyle="1" w:styleId="ListNote">
    <w:name w:val="List Note"/>
    <w:basedOn w:val="List"/>
    <w:rsid w:val="004A42A8"/>
    <w:pPr>
      <w:pBdr>
        <w:top w:val="single" w:sz="6" w:space="2" w:color="918585"/>
        <w:bottom w:val="single" w:sz="6" w:space="2" w:color="918585"/>
      </w:pBdr>
      <w:tabs>
        <w:tab w:val="left" w:pos="1021"/>
      </w:tabs>
      <w:ind w:firstLine="0"/>
    </w:pPr>
  </w:style>
  <w:style w:type="paragraph" w:customStyle="1" w:styleId="Warning">
    <w:name w:val="Warning"/>
    <w:basedOn w:val="BodyText"/>
    <w:rsid w:val="004A42A8"/>
    <w:pPr>
      <w:shd w:val="clear" w:color="auto" w:fill="D9D9D9"/>
      <w:tabs>
        <w:tab w:val="left" w:pos="992"/>
      </w:tabs>
      <w:ind w:left="119" w:right="119"/>
    </w:pPr>
    <w:rPr>
      <w:sz w:val="20"/>
    </w:rPr>
  </w:style>
  <w:style w:type="paragraph" w:customStyle="1" w:styleId="MarginIcons">
    <w:name w:val="Margin Icons"/>
    <w:basedOn w:val="BodyText"/>
    <w:rsid w:val="004A4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2A8"/>
    <w:rPr>
      <w:rFonts w:ascii="Courier New" w:hAnsi="Courier New"/>
    </w:rPr>
  </w:style>
  <w:style w:type="paragraph" w:customStyle="1" w:styleId="NoteBullet">
    <w:name w:val="Note Bullet"/>
    <w:basedOn w:val="Note"/>
    <w:rsid w:val="004A42A8"/>
    <w:pPr>
      <w:tabs>
        <w:tab w:val="clear" w:pos="680"/>
      </w:tabs>
      <w:spacing w:before="60" w:after="60"/>
    </w:pPr>
  </w:style>
  <w:style w:type="paragraph" w:customStyle="1" w:styleId="SubHeading2">
    <w:name w:val="SubHeading2"/>
    <w:basedOn w:val="HeadingBase"/>
    <w:rsid w:val="004A42A8"/>
    <w:pPr>
      <w:spacing w:before="240" w:after="60"/>
    </w:pPr>
    <w:rPr>
      <w:sz w:val="20"/>
    </w:rPr>
  </w:style>
  <w:style w:type="paragraph" w:customStyle="1" w:styleId="SideHeading">
    <w:name w:val="Side Heading"/>
    <w:basedOn w:val="HeadingBase"/>
    <w:rsid w:val="004A4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2A8"/>
    <w:pPr>
      <w:numPr>
        <w:numId w:val="13"/>
      </w:numPr>
    </w:pPr>
  </w:style>
  <w:style w:type="paragraph" w:styleId="PlainText">
    <w:name w:val="Plain Text"/>
    <w:basedOn w:val="Normal"/>
    <w:link w:val="PlainTextChar"/>
    <w:rsid w:val="004A42A8"/>
    <w:rPr>
      <w:sz w:val="20"/>
    </w:rPr>
  </w:style>
  <w:style w:type="character" w:customStyle="1" w:styleId="PlainTextChar">
    <w:name w:val="Plain Text Char"/>
    <w:basedOn w:val="DefaultParagraphFont"/>
    <w:link w:val="PlainText"/>
    <w:rsid w:val="004A42A8"/>
    <w:rPr>
      <w:rFonts w:ascii="Courier New" w:eastAsia="Times New Roman" w:hAnsi="Courier New" w:cs="Times New Roman"/>
      <w:sz w:val="20"/>
      <w:szCs w:val="20"/>
      <w:lang w:eastAsia="en-US"/>
    </w:rPr>
  </w:style>
  <w:style w:type="character" w:customStyle="1" w:styleId="MenuOption">
    <w:name w:val="Menu Option"/>
    <w:basedOn w:val="DefaultParagraphFont"/>
    <w:rsid w:val="004A42A8"/>
    <w:rPr>
      <w:b/>
      <w:smallCaps/>
    </w:rPr>
  </w:style>
  <w:style w:type="paragraph" w:customStyle="1" w:styleId="TableListNumber">
    <w:name w:val="Table List Number"/>
    <w:basedOn w:val="ListNumber"/>
    <w:rsid w:val="004A42A8"/>
    <w:pPr>
      <w:numPr>
        <w:numId w:val="0"/>
      </w:numPr>
    </w:pPr>
  </w:style>
  <w:style w:type="paragraph" w:styleId="TOC4">
    <w:name w:val="toc 4"/>
    <w:basedOn w:val="TOCBase"/>
    <w:next w:val="Normal"/>
    <w:semiHidden/>
    <w:rsid w:val="004A42A8"/>
    <w:pPr>
      <w:tabs>
        <w:tab w:val="right" w:leader="dot" w:pos="9071"/>
      </w:tabs>
      <w:ind w:left="1701"/>
    </w:pPr>
  </w:style>
  <w:style w:type="paragraph" w:customStyle="1" w:styleId="ListAlpha">
    <w:name w:val="List Alpha"/>
    <w:basedOn w:val="List"/>
    <w:rsid w:val="004A42A8"/>
    <w:pPr>
      <w:numPr>
        <w:numId w:val="10"/>
      </w:numPr>
    </w:pPr>
  </w:style>
  <w:style w:type="paragraph" w:customStyle="1" w:styleId="ListAlpha2">
    <w:name w:val="List Alpha 2"/>
    <w:basedOn w:val="List2"/>
    <w:rsid w:val="004A42A8"/>
    <w:pPr>
      <w:numPr>
        <w:numId w:val="9"/>
      </w:numPr>
    </w:pPr>
  </w:style>
  <w:style w:type="paragraph" w:styleId="List2">
    <w:name w:val="List 2"/>
    <w:basedOn w:val="BodyText"/>
    <w:rsid w:val="004A42A8"/>
    <w:pPr>
      <w:tabs>
        <w:tab w:val="left" w:pos="680"/>
      </w:tabs>
      <w:spacing w:before="60" w:after="60"/>
      <w:ind w:left="680" w:hanging="340"/>
    </w:pPr>
  </w:style>
  <w:style w:type="paragraph" w:styleId="List3">
    <w:name w:val="List 3"/>
    <w:basedOn w:val="BodyText"/>
    <w:rsid w:val="004A42A8"/>
    <w:pPr>
      <w:tabs>
        <w:tab w:val="left" w:pos="1021"/>
      </w:tabs>
      <w:spacing w:before="60" w:after="60"/>
      <w:ind w:left="1020" w:hanging="340"/>
    </w:pPr>
  </w:style>
  <w:style w:type="paragraph" w:styleId="List4">
    <w:name w:val="List 4"/>
    <w:basedOn w:val="BodyText"/>
    <w:rsid w:val="004A42A8"/>
    <w:pPr>
      <w:tabs>
        <w:tab w:val="left" w:pos="1361"/>
      </w:tabs>
      <w:spacing w:before="60" w:after="60"/>
      <w:ind w:left="1361" w:hanging="340"/>
    </w:pPr>
  </w:style>
  <w:style w:type="paragraph" w:styleId="List5">
    <w:name w:val="List 5"/>
    <w:basedOn w:val="BodyText"/>
    <w:rsid w:val="004A42A8"/>
    <w:pPr>
      <w:tabs>
        <w:tab w:val="left" w:pos="1701"/>
      </w:tabs>
      <w:spacing w:before="60" w:after="60"/>
      <w:ind w:left="1701" w:hanging="340"/>
    </w:pPr>
  </w:style>
  <w:style w:type="paragraph" w:styleId="ListBullet4">
    <w:name w:val="List Bullet 4"/>
    <w:basedOn w:val="List4"/>
    <w:rsid w:val="004A42A8"/>
    <w:pPr>
      <w:numPr>
        <w:numId w:val="4"/>
      </w:numPr>
      <w:tabs>
        <w:tab w:val="clear" w:pos="1361"/>
      </w:tabs>
    </w:pPr>
  </w:style>
  <w:style w:type="paragraph" w:styleId="ListBullet5">
    <w:name w:val="List Bullet 5"/>
    <w:basedOn w:val="List5"/>
    <w:rsid w:val="004A42A8"/>
    <w:pPr>
      <w:numPr>
        <w:numId w:val="5"/>
      </w:numPr>
    </w:pPr>
  </w:style>
  <w:style w:type="paragraph" w:styleId="ListContinue2">
    <w:name w:val="List Continue 2"/>
    <w:basedOn w:val="List2"/>
    <w:rsid w:val="004A42A8"/>
    <w:pPr>
      <w:ind w:firstLine="0"/>
    </w:pPr>
  </w:style>
  <w:style w:type="paragraph" w:styleId="ListContinue3">
    <w:name w:val="List Continue 3"/>
    <w:basedOn w:val="List3"/>
    <w:rsid w:val="004A42A8"/>
    <w:pPr>
      <w:ind w:left="1021" w:firstLine="0"/>
    </w:pPr>
  </w:style>
  <w:style w:type="paragraph" w:styleId="ListContinue4">
    <w:name w:val="List Continue 4"/>
    <w:basedOn w:val="List4"/>
    <w:rsid w:val="004A42A8"/>
    <w:pPr>
      <w:ind w:firstLine="0"/>
    </w:pPr>
  </w:style>
  <w:style w:type="paragraph" w:styleId="ListContinue5">
    <w:name w:val="List Continue 5"/>
    <w:basedOn w:val="List5"/>
    <w:rsid w:val="004A42A8"/>
    <w:pPr>
      <w:ind w:firstLine="0"/>
    </w:pPr>
  </w:style>
  <w:style w:type="paragraph" w:styleId="ListNumber3">
    <w:name w:val="List Number 3"/>
    <w:basedOn w:val="List3"/>
    <w:rsid w:val="004A42A8"/>
    <w:pPr>
      <w:numPr>
        <w:numId w:val="6"/>
      </w:numPr>
    </w:pPr>
  </w:style>
  <w:style w:type="paragraph" w:styleId="ListNumber4">
    <w:name w:val="List Number 4"/>
    <w:basedOn w:val="List4"/>
    <w:rsid w:val="004A42A8"/>
    <w:pPr>
      <w:numPr>
        <w:numId w:val="7"/>
      </w:numPr>
    </w:pPr>
  </w:style>
  <w:style w:type="paragraph" w:styleId="ListNumber5">
    <w:name w:val="List Number 5"/>
    <w:basedOn w:val="List5"/>
    <w:rsid w:val="004A42A8"/>
    <w:pPr>
      <w:numPr>
        <w:numId w:val="8"/>
      </w:numPr>
    </w:pPr>
  </w:style>
  <w:style w:type="paragraph" w:styleId="BlockText">
    <w:name w:val="Block Text"/>
    <w:basedOn w:val="Normal"/>
    <w:rsid w:val="004A42A8"/>
    <w:pPr>
      <w:spacing w:after="120"/>
      <w:ind w:left="1440" w:right="1440"/>
    </w:pPr>
  </w:style>
  <w:style w:type="character" w:customStyle="1" w:styleId="Subscript">
    <w:name w:val="Subscript"/>
    <w:basedOn w:val="DefaultParagraphFont"/>
    <w:rsid w:val="004A42A8"/>
    <w:rPr>
      <w:sz w:val="16"/>
      <w:vertAlign w:val="subscript"/>
    </w:rPr>
  </w:style>
  <w:style w:type="character" w:customStyle="1" w:styleId="Superscript">
    <w:name w:val="Superscript"/>
    <w:basedOn w:val="DefaultParagraphFont"/>
    <w:rsid w:val="004A42A8"/>
    <w:rPr>
      <w:sz w:val="16"/>
      <w:vertAlign w:val="superscript"/>
    </w:rPr>
  </w:style>
  <w:style w:type="character" w:customStyle="1" w:styleId="Symbols">
    <w:name w:val="Symbols"/>
    <w:basedOn w:val="DefaultParagraphFont"/>
    <w:rsid w:val="004A42A8"/>
    <w:rPr>
      <w:rFonts w:ascii="Symbol" w:hAnsi="Symbol"/>
    </w:rPr>
  </w:style>
  <w:style w:type="character" w:customStyle="1" w:styleId="MenuOptions">
    <w:name w:val="Menu Options"/>
    <w:basedOn w:val="DefaultParagraphFont"/>
    <w:rsid w:val="004A42A8"/>
    <w:rPr>
      <w:rFonts w:ascii="Arial Narrow" w:hAnsi="Arial Narrow"/>
      <w:smallCaps/>
    </w:rPr>
  </w:style>
  <w:style w:type="character" w:customStyle="1" w:styleId="Buttons">
    <w:name w:val="Buttons"/>
    <w:basedOn w:val="DefaultParagraphFont"/>
    <w:rsid w:val="004A42A8"/>
    <w:rPr>
      <w:b/>
    </w:rPr>
  </w:style>
  <w:style w:type="character" w:customStyle="1" w:styleId="Underlined">
    <w:name w:val="Underlined"/>
    <w:basedOn w:val="DefaultParagraphFont"/>
    <w:rsid w:val="004A42A8"/>
    <w:rPr>
      <w:u w:val="single"/>
    </w:rPr>
  </w:style>
  <w:style w:type="paragraph" w:customStyle="1" w:styleId="TableBodyTextRight">
    <w:name w:val="Table Body Text Right"/>
    <w:basedOn w:val="TableBodyText"/>
    <w:rsid w:val="004A42A8"/>
    <w:pPr>
      <w:widowControl w:val="0"/>
      <w:autoSpaceDE w:val="0"/>
      <w:autoSpaceDN w:val="0"/>
      <w:adjustRightInd w:val="0"/>
      <w:jc w:val="right"/>
    </w:pPr>
    <w:rPr>
      <w:rFonts w:cs="Arial"/>
      <w:szCs w:val="18"/>
    </w:rPr>
  </w:style>
  <w:style w:type="paragraph" w:customStyle="1" w:styleId="CopyrightText">
    <w:name w:val="Copyright Text"/>
    <w:basedOn w:val="BodyText"/>
    <w:rsid w:val="004A42A8"/>
    <w:rPr>
      <w:sz w:val="18"/>
    </w:rPr>
  </w:style>
  <w:style w:type="paragraph" w:customStyle="1" w:styleId="BodySmallRight">
    <w:name w:val="Body Small Right"/>
    <w:basedOn w:val="BodyTextRight"/>
    <w:rsid w:val="004A42A8"/>
    <w:rPr>
      <w:sz w:val="18"/>
      <w:szCs w:val="18"/>
    </w:rPr>
  </w:style>
  <w:style w:type="paragraph" w:customStyle="1" w:styleId="MarginEdition">
    <w:name w:val="Margin Edition"/>
    <w:basedOn w:val="MarginNote"/>
    <w:rsid w:val="004A42A8"/>
    <w:pPr>
      <w:spacing w:before="0" w:after="0"/>
    </w:pPr>
    <w:rPr>
      <w:rFonts w:ascii="Times New Roman" w:hAnsi="Times New Roman"/>
      <w:color w:val="999999"/>
    </w:rPr>
  </w:style>
  <w:style w:type="paragraph" w:customStyle="1" w:styleId="Spacer">
    <w:name w:val="Spacer"/>
    <w:basedOn w:val="Normal"/>
    <w:rsid w:val="004A42A8"/>
    <w:rPr>
      <w:sz w:val="2"/>
      <w:szCs w:val="2"/>
    </w:rPr>
  </w:style>
  <w:style w:type="character" w:customStyle="1" w:styleId="Small">
    <w:name w:val="Small"/>
    <w:basedOn w:val="DefaultParagraphFont"/>
    <w:rsid w:val="004A42A8"/>
    <w:rPr>
      <w:sz w:val="16"/>
    </w:rPr>
  </w:style>
  <w:style w:type="paragraph" w:customStyle="1" w:styleId="WideTable">
    <w:name w:val="Wide Table"/>
    <w:basedOn w:val="Normal"/>
    <w:rsid w:val="004A42A8"/>
    <w:pPr>
      <w:ind w:left="-1418"/>
    </w:pPr>
    <w:rPr>
      <w:sz w:val="2"/>
      <w:szCs w:val="2"/>
    </w:rPr>
  </w:style>
  <w:style w:type="character" w:styleId="PageNumber">
    <w:name w:val="page number"/>
    <w:basedOn w:val="DefaultParagraphFont"/>
    <w:rsid w:val="004A42A8"/>
  </w:style>
  <w:style w:type="paragraph" w:styleId="Quote">
    <w:name w:val="Quote"/>
    <w:basedOn w:val="Heading1"/>
    <w:link w:val="QuoteChar"/>
    <w:qFormat/>
    <w:rsid w:val="004A42A8"/>
    <w:rPr>
      <w:b w:val="0"/>
      <w:sz w:val="72"/>
      <w:szCs w:val="72"/>
      <w:lang w:val="en-NZ"/>
    </w:rPr>
  </w:style>
  <w:style w:type="character" w:customStyle="1" w:styleId="QuoteChar">
    <w:name w:val="Quote Char"/>
    <w:basedOn w:val="DefaultParagraphFont"/>
    <w:link w:val="Quote"/>
    <w:rsid w:val="004A4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2A8"/>
    <w:pPr>
      <w:pageBreakBefore/>
    </w:pPr>
  </w:style>
  <w:style w:type="paragraph" w:customStyle="1" w:styleId="Border">
    <w:name w:val="Border"/>
    <w:basedOn w:val="Normal"/>
    <w:qFormat/>
    <w:rsid w:val="004A4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2A8"/>
    <w:rPr>
      <w:b/>
      <w:bCs/>
      <w:i/>
      <w:iCs/>
      <w:color w:val="auto"/>
    </w:rPr>
  </w:style>
  <w:style w:type="paragraph" w:styleId="IntenseQuote">
    <w:name w:val="Intense Quote"/>
    <w:basedOn w:val="Normal"/>
    <w:next w:val="Normal"/>
    <w:link w:val="IntenseQuoteChar"/>
    <w:uiPriority w:val="30"/>
    <w:qFormat/>
    <w:rsid w:val="004A4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2A8"/>
    <w:rPr>
      <w:smallCaps/>
      <w:color w:val="auto"/>
      <w:u w:val="single"/>
    </w:rPr>
  </w:style>
  <w:style w:type="character" w:styleId="IntenseReference">
    <w:name w:val="Intense Reference"/>
    <w:basedOn w:val="DefaultParagraphFont"/>
    <w:uiPriority w:val="32"/>
    <w:qFormat/>
    <w:rsid w:val="004A42A8"/>
    <w:rPr>
      <w:b/>
      <w:bCs/>
      <w:smallCaps/>
      <w:color w:val="auto"/>
      <w:spacing w:val="5"/>
      <w:u w:val="single"/>
    </w:rPr>
  </w:style>
  <w:style w:type="paragraph" w:customStyle="1" w:styleId="2ColumnHeading">
    <w:name w:val="2Column Heading"/>
    <w:basedOn w:val="BodyText"/>
    <w:qFormat/>
    <w:rsid w:val="004A42A8"/>
    <w:pPr>
      <w:spacing w:after="60"/>
      <w:ind w:left="-2268"/>
    </w:pPr>
    <w:rPr>
      <w:b/>
    </w:rPr>
  </w:style>
  <w:style w:type="paragraph" w:customStyle="1" w:styleId="Heading1TOC">
    <w:name w:val="Heading1 TOC"/>
    <w:basedOn w:val="Normal"/>
    <w:qFormat/>
    <w:rsid w:val="004A42A8"/>
    <w:pPr>
      <w:spacing w:before="240" w:after="120"/>
    </w:pPr>
    <w:rPr>
      <w:rFonts w:ascii="Times New Roman" w:hAnsi="Times New Roman"/>
      <w:b/>
      <w:sz w:val="32"/>
    </w:rPr>
  </w:style>
  <w:style w:type="paragraph" w:customStyle="1" w:styleId="Heading2TOC">
    <w:name w:val="Heading2 TOC"/>
    <w:basedOn w:val="Normal"/>
    <w:qFormat/>
    <w:rsid w:val="004A42A8"/>
    <w:pPr>
      <w:spacing w:before="240" w:after="60"/>
    </w:pPr>
    <w:rPr>
      <w:rFonts w:ascii="Times New Roman" w:hAnsi="Times New Roman"/>
      <w:b/>
      <w:sz w:val="28"/>
    </w:rPr>
  </w:style>
  <w:style w:type="character" w:customStyle="1" w:styleId="Underline">
    <w:name w:val="Underline"/>
    <w:basedOn w:val="DefaultParagraphFont"/>
    <w:qFormat/>
    <w:rsid w:val="004A42A8"/>
    <w:rPr>
      <w:u w:val="single"/>
    </w:rPr>
  </w:style>
  <w:style w:type="character" w:customStyle="1" w:styleId="BoldandItalics">
    <w:name w:val="Bold and Italics"/>
    <w:qFormat/>
    <w:rsid w:val="004A42A8"/>
    <w:rPr>
      <w:b/>
      <w:i/>
      <w:u w:val="none"/>
    </w:rPr>
  </w:style>
  <w:style w:type="paragraph" w:styleId="BalloonText">
    <w:name w:val="Balloon Text"/>
    <w:basedOn w:val="Normal"/>
    <w:link w:val="BalloonTextChar"/>
    <w:rsid w:val="004A42A8"/>
    <w:rPr>
      <w:rFonts w:ascii="Tahoma" w:hAnsi="Tahoma" w:cs="Tahoma"/>
      <w:sz w:val="16"/>
      <w:szCs w:val="16"/>
    </w:rPr>
  </w:style>
  <w:style w:type="character" w:customStyle="1" w:styleId="BalloonTextChar">
    <w:name w:val="Balloon Text Char"/>
    <w:basedOn w:val="DefaultParagraphFont"/>
    <w:link w:val="BalloonText"/>
    <w:rsid w:val="004A4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2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2A8"/>
    <w:rPr>
      <w:b/>
      <w:color w:val="660033"/>
      <w:spacing w:val="0"/>
    </w:rPr>
  </w:style>
  <w:style w:type="paragraph" w:customStyle="1" w:styleId="Nameditemlist">
    <w:name w:val="Named item list"/>
    <w:basedOn w:val="BodyText"/>
    <w:qFormat/>
    <w:rsid w:val="004A42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6024</Characters>
  <Application>Microsoft Office Word</Application>
  <DocSecurity>0</DocSecurity>
  <Lines>148</Lines>
  <Paragraphs>89</Paragraphs>
  <ScaleCrop>false</ScaleCrop>
  <Company>Author-it Software Corporation Ltd.</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RIIWSV201D Perform well servicing rig floor operations</dc:title>
  <dc:subject>Approved</dc:subject>
  <dc:creator>SkillsDMC</dc:creator>
  <cp:keywords>Release: 3</cp:keywords>
  <dc:description>Review Date: 12 April 2008</dc:description>
  <cp:lastModifiedBy>HSD_TPCMSd.prod</cp:lastModifiedBy>
  <cp:revision>3</cp:revision>
  <dcterms:created xsi:type="dcterms:W3CDTF">2014-12-07T03:10:00Z</dcterms:created>
  <dcterms:modified xsi:type="dcterms:W3CDTF">2014-12-07T03:10:00Z</dcterms:modified>
</cp:coreProperties>
</file>