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564" w:rsidP="003A5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RIIWHS602D Incorporate health and hygiene factors into mine management</w:t>
      </w:r>
      <w:r>
        <w:fldChar w:fldCharType="end"/>
      </w:r>
    </w:p>
    <w:p w:rsidR="003A5564" w:rsidP="003A5564">
      <w:pPr>
        <w:pStyle w:val="Version"/>
        <w:sectPr w:rsidSect="001E4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1E4785" w:rsidP="001E4785">
      <w:pPr>
        <w:pStyle w:val="SuperHeading"/>
      </w:pPr>
      <w:r w:rsidRPr="001E4785">
        <w:t>Assessment Requirements for RIIWHS602D Incorporate health and hygiene factors into mine management</w:t>
      </w:r>
    </w:p>
    <w:p w:rsidR="00000000" w:rsidRPr="001E4785" w:rsidP="001E4785">
      <w:pPr>
        <w:pStyle w:val="Heading1"/>
      </w:pPr>
      <w:bookmarkStart w:id="1" w:name="O_681983"/>
      <w:bookmarkEnd w:id="1"/>
      <w:r w:rsidRPr="001E47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A55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Heading4"/>
              <w:rPr>
                <w:lang w:val="en-NZ"/>
              </w:rPr>
            </w:pPr>
            <w:r w:rsidRPr="001E478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Heading4"/>
              <w:rPr>
                <w:lang w:val="en-NZ"/>
              </w:rPr>
            </w:pPr>
            <w:r w:rsidRPr="001E4785">
              <w:t>Comment</w:t>
            </w:r>
          </w:p>
        </w:tc>
      </w:tr>
      <w:tr w:rsidTr="003A55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The unit replaces RIIOHS602A Incorporate health and hygiene factors into mine management.</w:t>
            </w:r>
          </w:p>
        </w:tc>
      </w:tr>
      <w:tr w:rsidTr="003A5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Editorial corrections.</w:t>
            </w:r>
          </w:p>
        </w:tc>
      </w:tr>
      <w:tr w:rsidTr="003A55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Amended Application field.</w:t>
            </w:r>
          </w:p>
        </w:tc>
      </w:tr>
      <w:tr w:rsidTr="003A55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85" w:rsidP="001E4785">
            <w:pPr>
              <w:pStyle w:val="BodyText"/>
            </w:pPr>
            <w:r w:rsidRPr="001E4785">
              <w:t>Required frequency and volume of evidence amended in Performance evidence.</w:t>
            </w:r>
          </w:p>
          <w:p w:rsidR="00000000" w:rsidRPr="001E4785" w:rsidP="001E4785">
            <w:pPr>
              <w:pStyle w:val="BodyText"/>
            </w:pPr>
            <w:r w:rsidRPr="001E478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E4785" w:rsidP="001E4785">
      <w:pPr>
        <w:pStyle w:val="BodyText"/>
      </w:pPr>
    </w:p>
    <w:p w:rsidR="00000000" w:rsidRPr="001E4785" w:rsidP="001E4785">
      <w:pPr>
        <w:pStyle w:val="AllowPageBreak"/>
      </w:pPr>
    </w:p>
    <w:p w:rsidR="00000000" w:rsidRPr="001E4785" w:rsidP="001E4785">
      <w:pPr>
        <w:pStyle w:val="Heading1"/>
      </w:pPr>
      <w:bookmarkStart w:id="2" w:name="O_681982"/>
      <w:bookmarkEnd w:id="2"/>
      <w:r w:rsidRPr="001E4785">
        <w:t>Performance</w:t>
      </w:r>
      <w:r w:rsidRPr="001E4785">
        <w:t xml:space="preserve"> Evidence</w:t>
      </w:r>
    </w:p>
    <w:p w:rsidR="00000000" w:rsidRPr="001E4785" w:rsidP="003A5564">
      <w:pPr>
        <w:pStyle w:val="BodyText"/>
      </w:pPr>
      <w:r w:rsidRPr="001E4785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1E4785">
        <w:t xml:space="preserve"> and include evidence that the candidate:</w:t>
      </w:r>
    </w:p>
    <w:p w:rsidR="00000000" w:rsidRPr="001E4785" w:rsidP="001E4785">
      <w:pPr>
        <w:pStyle w:val="ListBullet"/>
      </w:pPr>
      <w:r w:rsidRPr="001E4785">
        <w:t>locates and applies relevant legislation, documentation, policies and procedures</w:t>
      </w:r>
    </w:p>
    <w:p w:rsidR="00000000" w:rsidRPr="001E4785" w:rsidP="001E4785">
      <w:pPr>
        <w:pStyle w:val="ListBullet"/>
      </w:pPr>
      <w:r w:rsidRPr="001E4785">
        <w:t>demonstrates completion of incorporating health and hygiene factors into mine management that safely, effectively and efficiently me</w:t>
      </w:r>
      <w:r w:rsidRPr="001E4785">
        <w:t>ets all of the required outcomes on more than one (1) occasion including:</w:t>
      </w:r>
    </w:p>
    <w:p w:rsidR="00000000" w:rsidRPr="001E4785" w:rsidP="001E4785">
      <w:pPr>
        <w:pStyle w:val="ListBullet2"/>
      </w:pPr>
      <w:r w:rsidRPr="001E4785">
        <w:t xml:space="preserve">identifying the fundamentals of human disease and injury that can occur on a mine site and prepares a management plan to manage site health and hygiene factors </w:t>
      </w:r>
    </w:p>
    <w:p w:rsidR="00000000" w:rsidRPr="001E4785" w:rsidP="001E4785">
      <w:pPr>
        <w:pStyle w:val="ListBullet2"/>
      </w:pPr>
      <w:r w:rsidRPr="001E4785">
        <w:t>identifying viable health and hygiene program options, explores and considers options to best meet the required outcomes and communicates outcomes to others</w:t>
      </w:r>
    </w:p>
    <w:p w:rsidR="00000000" w:rsidRPr="001E4785" w:rsidP="001E4785">
      <w:pPr>
        <w:pStyle w:val="ListBullet2"/>
      </w:pPr>
      <w:r w:rsidRPr="001E4785">
        <w:t>establishing and resourcing of health and hygiene training programs</w:t>
      </w:r>
    </w:p>
    <w:p w:rsidR="00000000" w:rsidRPr="001E4785" w:rsidP="001E4785">
      <w:pPr>
        <w:pStyle w:val="ListBullet2"/>
      </w:pPr>
      <w:r w:rsidRPr="001E4785">
        <w:t>analysing health hazards in var</w:t>
      </w:r>
      <w:r w:rsidRPr="001E4785">
        <w:t>ious forms on site and establishing controls to manage the hazards</w:t>
      </w:r>
    </w:p>
    <w:p w:rsidR="00000000" w:rsidRPr="001E4785" w:rsidP="001E4785">
      <w:pPr>
        <w:pStyle w:val="ListBullet2"/>
      </w:pPr>
      <w:r w:rsidRPr="001E4785">
        <w:t>establishing and communicating effective procedures for conducting enquiries / investigations and preparing written reports</w:t>
      </w:r>
    </w:p>
    <w:p w:rsidR="00000000" w:rsidRPr="001E4785" w:rsidP="001E4785">
      <w:pPr>
        <w:pStyle w:val="ListBullet2"/>
      </w:pPr>
      <w:r w:rsidRPr="001E4785">
        <w:t>using various communicate systems and methods to communicate heal</w:t>
      </w:r>
      <w:r w:rsidRPr="001E4785">
        <w:t>th and hygiene requirements, ideas and information to others</w:t>
      </w:r>
    </w:p>
    <w:p w:rsidR="00000000" w:rsidRPr="001E4785" w:rsidP="001E4785">
      <w:pPr>
        <w:pStyle w:val="ListBullet2"/>
      </w:pPr>
      <w:r w:rsidRPr="001E4785">
        <w:t xml:space="preserve">demonstrating support of others to maintain the standards of procedures and instructions in mine site and operations </w:t>
      </w:r>
    </w:p>
    <w:p w:rsidR="00000000" w:rsidRPr="001E4785" w:rsidP="001E4785">
      <w:pPr>
        <w:pStyle w:val="ListBullet2"/>
      </w:pPr>
      <w:r w:rsidRPr="001E4785">
        <w:t>establishing procedures for preparing and documenting policies, plans and pro</w:t>
      </w:r>
      <w:r w:rsidRPr="001E4785">
        <w:t xml:space="preserve">cedures </w:t>
      </w:r>
    </w:p>
    <w:p w:rsidR="00000000" w:rsidRPr="001E4785" w:rsidP="001E4785">
      <w:pPr>
        <w:pStyle w:val="ListBullet2"/>
      </w:pPr>
      <w:r w:rsidRPr="001E4785">
        <w:t>evaluating data from monitoring systems for plant/equipment and work processes to improve health and hygiene outcomes</w:t>
      </w:r>
    </w:p>
    <w:p w:rsidR="00000000" w:rsidRPr="001E4785" w:rsidP="001E4785">
      <w:pPr>
        <w:pStyle w:val="ListBullet2"/>
      </w:pPr>
      <w:r w:rsidRPr="001E4785">
        <w:t>establishing the review and audit processes / techniques to determine anomalies, good practice and implement solutions</w:t>
      </w:r>
    </w:p>
    <w:p w:rsidR="00000000" w:rsidRPr="001E4785" w:rsidP="001E4785">
      <w:pPr>
        <w:pStyle w:val="AllowPageBreak"/>
      </w:pPr>
    </w:p>
    <w:p w:rsidR="00000000" w:rsidRPr="001E4785" w:rsidP="001E4785">
      <w:pPr>
        <w:pStyle w:val="Heading1"/>
      </w:pPr>
      <w:bookmarkStart w:id="3" w:name="O_681981"/>
      <w:bookmarkEnd w:id="3"/>
      <w:r w:rsidRPr="001E4785">
        <w:t>Knowledge Evidence</w:t>
      </w:r>
    </w:p>
    <w:p w:rsidR="00000000" w:rsidRPr="001E4785" w:rsidP="003A5564">
      <w:pPr>
        <w:pStyle w:val="BodyText"/>
      </w:pPr>
      <w:r w:rsidRPr="001E4785">
        <w:t>The candidate must demonstrate knowledge of incorporating health and hygiene factors into mine management through:</w:t>
      </w:r>
    </w:p>
    <w:p w:rsidR="00000000" w:rsidRPr="001E4785" w:rsidP="001E4785">
      <w:pPr>
        <w:pStyle w:val="ListBullet"/>
      </w:pPr>
      <w:r w:rsidRPr="001E4785">
        <w:t>relevant licensing, legislative, regulatory and certification requirements</w:t>
      </w:r>
    </w:p>
    <w:p w:rsidR="00000000" w:rsidRPr="001E4785" w:rsidP="001E4785">
      <w:pPr>
        <w:pStyle w:val="ListBullet"/>
      </w:pPr>
      <w:r w:rsidRPr="001E4785">
        <w:t xml:space="preserve">fundamentals of health and hygiene and </w:t>
      </w:r>
      <w:r w:rsidRPr="001E4785">
        <w:t>the effects on the human body</w:t>
      </w:r>
    </w:p>
    <w:p w:rsidR="00000000" w:rsidRPr="001E4785" w:rsidP="001E4785">
      <w:pPr>
        <w:pStyle w:val="ListBullet"/>
      </w:pPr>
      <w:r w:rsidRPr="001E4785">
        <w:t>health and hygiene policy requirements</w:t>
      </w:r>
    </w:p>
    <w:p w:rsidR="00000000" w:rsidRPr="001E4785" w:rsidP="001E4785">
      <w:pPr>
        <w:pStyle w:val="ListBullet"/>
      </w:pPr>
      <w:r w:rsidRPr="001E4785">
        <w:t>health and hygiene objectives, targets, performance indicators and criteria</w:t>
      </w:r>
    </w:p>
    <w:p w:rsidR="00000000" w:rsidRPr="001E4785" w:rsidP="001E4785">
      <w:pPr>
        <w:pStyle w:val="ListBullet"/>
      </w:pPr>
      <w:r w:rsidRPr="001E4785">
        <w:t>health and hygiene management systems information support requirements and options</w:t>
      </w:r>
    </w:p>
    <w:p w:rsidR="00000000" w:rsidRPr="001E4785" w:rsidP="001E4785">
      <w:pPr>
        <w:pStyle w:val="ListBullet"/>
      </w:pPr>
      <w:r w:rsidRPr="001E4785">
        <w:t>risk management and control theory and processes</w:t>
      </w:r>
    </w:p>
    <w:p w:rsidR="00000000" w:rsidRPr="001E4785" w:rsidP="001E4785">
      <w:pPr>
        <w:pStyle w:val="ListBullet"/>
      </w:pPr>
      <w:r w:rsidRPr="001E4785">
        <w:t>continuous improvement processes and techniques</w:t>
      </w:r>
    </w:p>
    <w:p w:rsidR="00000000" w:rsidRPr="001E4785" w:rsidP="001E4785">
      <w:pPr>
        <w:pStyle w:val="ListBullet"/>
      </w:pPr>
      <w:r w:rsidRPr="001E4785">
        <w:t>health and hygiene training requirements and systems</w:t>
      </w:r>
    </w:p>
    <w:p w:rsidR="00000000" w:rsidRPr="001E4785" w:rsidP="001E4785">
      <w:pPr>
        <w:pStyle w:val="AllowPageBreak"/>
      </w:pPr>
    </w:p>
    <w:p w:rsidR="00000000" w:rsidRPr="001E4785" w:rsidP="001E4785">
      <w:pPr>
        <w:pStyle w:val="Heading1"/>
      </w:pPr>
      <w:bookmarkStart w:id="4" w:name="O_681980"/>
      <w:bookmarkEnd w:id="4"/>
      <w:r w:rsidRPr="001E4785">
        <w:t>Assessment Conditions</w:t>
      </w:r>
    </w:p>
    <w:p w:rsidR="00000000" w:rsidRPr="001E4785" w:rsidP="001E4785">
      <w:pPr>
        <w:pStyle w:val="ListBullet"/>
      </w:pPr>
      <w:r w:rsidRPr="001E4785">
        <w:t>An assessor of this unit must satisfy the requirements of the NVR/</w:t>
      </w:r>
      <w:r w:rsidRPr="001E4785">
        <w:t xml:space="preserve">AQTF or their successors; and Industry regulations for certification and licensing: and, </w:t>
      </w:r>
    </w:p>
    <w:p w:rsidR="00000000" w:rsidRPr="001E4785" w:rsidP="001E4785">
      <w:pPr>
        <w:pStyle w:val="ListBullet"/>
      </w:pPr>
      <w:r w:rsidRPr="001E4785">
        <w:t>this unit must be assessed in the context of this sector’s work environment; and,</w:t>
      </w:r>
    </w:p>
    <w:p w:rsidR="00000000" w:rsidRPr="001E4785" w:rsidP="001E4785">
      <w:pPr>
        <w:pStyle w:val="ListBullet"/>
      </w:pPr>
      <w:r w:rsidRPr="001E4785">
        <w:t>this unit must be assessed in compliance with relevant legislation/regulation and us</w:t>
      </w:r>
      <w:r w:rsidRPr="001E4785">
        <w:t>ing policies, procedures, processes and operational manuals directly related to the industry sector for which it is being assessed; and,</w:t>
      </w:r>
    </w:p>
    <w:p w:rsidR="00000000" w:rsidRPr="001E4785" w:rsidP="001E4785">
      <w:pPr>
        <w:pStyle w:val="ListBullet"/>
      </w:pPr>
      <w:r w:rsidRPr="001E4785">
        <w:t>assessment may be conducted in conjunction with the assessment of other Units of Competency; and,</w:t>
      </w:r>
    </w:p>
    <w:p w:rsidR="00000000" w:rsidRPr="001E4785" w:rsidP="001E4785">
      <w:pPr>
        <w:pStyle w:val="ListBullet"/>
      </w:pPr>
      <w:r w:rsidRPr="001E4785">
        <w:t>assessment must confi</w:t>
      </w:r>
      <w:r w:rsidRPr="001E4785">
        <w:t>rm consistent performance can be applied in a range of relevant workplace circumstances; and,</w:t>
      </w:r>
    </w:p>
    <w:p w:rsidR="00000000" w:rsidRPr="001E4785" w:rsidP="001E4785">
      <w:pPr>
        <w:pStyle w:val="ListBullet"/>
      </w:pPr>
      <w:r w:rsidRPr="001E4785">
        <w:t>assessors must demonstrate the performance evidence, and knowledge evidence as outlined in this Unit of Competency, and through the minimum years of current* work</w:t>
      </w:r>
      <w:r w:rsidRPr="001E4785">
        <w:t xml:space="preserve"> experience specified below in an Industry sector relevant to the outcomes of the unit; or,</w:t>
      </w:r>
    </w:p>
    <w:p w:rsidR="00000000" w:rsidRPr="001E4785" w:rsidP="001E4785">
      <w:pPr>
        <w:pStyle w:val="ListBullet"/>
      </w:pPr>
      <w:r w:rsidRPr="001E4785">
        <w:t>where the assessor does not meet experience requirements a co-assessment or partnership arrangement must exist between the qualified assessor and an Industry subjec</w:t>
      </w:r>
      <w:r w:rsidRPr="001E4785">
        <w:t>t matter expert. The Industry subject matter expert should hold the unit being assessed (or an equivalent unit) and/or demonstrate equivalence of skills and knowledge at the unit level. An Industry technical expert must also demonstrate skills and knowledg</w:t>
      </w:r>
      <w:r w:rsidRPr="001E4785">
        <w:t>e from the minimum years of current work experience specified below in the Industry sector, including time spent in roles related to the unit being assessed; and,</w:t>
      </w:r>
    </w:p>
    <w:p w:rsidR="00000000" w:rsidRPr="001E4785" w:rsidP="001E4785">
      <w:pPr>
        <w:pStyle w:val="ListBullet"/>
      </w:pPr>
      <w:r w:rsidRPr="001E4785">
        <w:t>assessor and Industry subject matter expert requirements differ depending on the Australian Q</w:t>
      </w:r>
      <w:r w:rsidRPr="001E4785">
        <w:t>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E47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SubHeading1"/>
              <w:rPr>
                <w:lang w:val="en-NZ"/>
              </w:rPr>
            </w:pPr>
            <w:r w:rsidRPr="001E478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SubHeading1"/>
              <w:rPr>
                <w:lang w:val="en-NZ"/>
              </w:rPr>
            </w:pPr>
            <w:r w:rsidRPr="001E478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SubHeading1"/>
              <w:rPr>
                <w:lang w:val="en-NZ"/>
              </w:rPr>
            </w:pPr>
            <w:r w:rsidRPr="001E4785">
              <w:t>Required assessor or Industry subject matter expert experience</w:t>
            </w:r>
          </w:p>
        </w:tc>
      </w:tr>
      <w:tr w:rsidTr="001E47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1 Year</w:t>
            </w:r>
          </w:p>
        </w:tc>
      </w:tr>
      <w:tr w:rsidTr="001E47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2 Years</w:t>
            </w:r>
          </w:p>
        </w:tc>
      </w:tr>
      <w:tr w:rsidTr="001E47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3 Years</w:t>
            </w:r>
          </w:p>
        </w:tc>
      </w:tr>
      <w:tr w:rsidTr="001E47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5 Years</w:t>
            </w:r>
          </w:p>
        </w:tc>
      </w:tr>
      <w:tr w:rsidTr="001E47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4785">
            <w:pPr>
              <w:pStyle w:val="BodyText"/>
              <w:rPr>
                <w:lang w:val="en-NZ"/>
              </w:rPr>
            </w:pPr>
            <w:r w:rsidRPr="001E478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4785" w:rsidP="001E4785">
            <w:pPr>
              <w:pStyle w:val="BodyText"/>
            </w:pPr>
            <w:r w:rsidRPr="001E478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E4785">
              <w:t>ndard is specified should comply with any relevant regulation.</w:t>
            </w:r>
          </w:p>
        </w:tc>
      </w:tr>
    </w:tbl>
    <w:p w:rsidR="00000000" w:rsidRPr="001E4785" w:rsidP="003A5564">
      <w:pPr>
        <w:pStyle w:val="BodyText"/>
      </w:pPr>
      <w:r w:rsidRPr="001E4785">
        <w:t>*Assessors can demonstrate current work experience through employment within Industry in a role relevant to the outcomes of the Unit; or, for external assessors this can be demonstrated throu</w:t>
      </w:r>
      <w:r w:rsidRPr="001E4785">
        <w:t>gh exposure to Industry by conducting frequent site assessments across various locations.</w:t>
      </w:r>
    </w:p>
    <w:p w:rsidR="00000000" w:rsidRPr="001E4785" w:rsidP="003A5564">
      <w:pPr>
        <w:pStyle w:val="BodyText"/>
      </w:pPr>
      <w:r w:rsidRPr="001E4785">
        <w:t>**Where a unit is being delivered outside of a Qualification the first numeric character in the Unit code should be considered to indicate the AQF level</w:t>
      </w:r>
    </w:p>
    <w:p w:rsidR="00000000" w:rsidRPr="001E4785" w:rsidP="001E4785">
      <w:pPr>
        <w:pStyle w:val="Heading1"/>
      </w:pPr>
      <w:bookmarkStart w:id="5" w:name="O_681999"/>
      <w:bookmarkEnd w:id="5"/>
      <w:r w:rsidRPr="001E4785">
        <w:t>Links</w:t>
      </w:r>
    </w:p>
    <w:p w:rsidR="00000000" w:rsidRPr="001E4785" w:rsidP="003A5564">
      <w:pPr>
        <w:pStyle w:val="BodyText"/>
      </w:pPr>
      <w:r w:rsidRPr="001E4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825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4785" w:rsidP="001E4785"/>
    <w:sectPr w:rsidSect="001E47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5" w:rsidRPr="003A5564" w:rsidP="003A5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64" w:rsidP="001E4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564" w:rsidP="001E4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5564" w:rsidP="001E4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785" w:rsidRPr="003A5564" w:rsidP="003A5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64" w:rsidRPr="002D2AF8" w:rsidP="001E4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RIIWHS602D Incorporate health and hygiene factors into mine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A5564" w:rsidP="001E4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963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45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E9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785"/>
  </w:style>
  <w:style w:type="character" w:customStyle="1" w:styleId="Heading1Char">
    <w:name w:val="Heading 1 Char"/>
    <w:basedOn w:val="DefaultParagraphFont"/>
    <w:link w:val="Heading1"/>
    <w:rsid w:val="001E4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78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E4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7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47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1E4785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1E4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785"/>
    <w:rPr>
      <w:b/>
      <w:spacing w:val="0"/>
    </w:rPr>
  </w:style>
  <w:style w:type="paragraph" w:customStyle="1" w:styleId="SuperTitle">
    <w:name w:val="SuperTitle"/>
    <w:basedOn w:val="Title"/>
    <w:rsid w:val="001E4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785"/>
    <w:rPr>
      <w:i/>
    </w:rPr>
  </w:style>
  <w:style w:type="paragraph" w:styleId="Caption">
    <w:name w:val="caption"/>
    <w:basedOn w:val="BodyText"/>
    <w:next w:val="Normal"/>
    <w:qFormat/>
    <w:rsid w:val="001E4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785"/>
  </w:style>
  <w:style w:type="paragraph" w:styleId="TableofFigures">
    <w:name w:val="table of figures"/>
    <w:basedOn w:val="Normal"/>
    <w:next w:val="Normal"/>
    <w:semiHidden/>
    <w:rsid w:val="001E4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7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785"/>
    <w:rPr>
      <w:rFonts w:ascii="Wingdings" w:hAnsi="Wingdings"/>
    </w:rPr>
  </w:style>
  <w:style w:type="paragraph" w:customStyle="1" w:styleId="TableHeading">
    <w:name w:val="Table Heading"/>
    <w:basedOn w:val="HeadingBase"/>
    <w:rsid w:val="001E4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785"/>
    <w:rPr>
      <w:color w:val="0033CC"/>
      <w:u w:val="none"/>
    </w:rPr>
  </w:style>
  <w:style w:type="paragraph" w:customStyle="1" w:styleId="BodyTextRight">
    <w:name w:val="Body Text Right"/>
    <w:basedOn w:val="BodyText"/>
    <w:rsid w:val="001E4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7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785"/>
    <w:rPr>
      <w:sz w:val="32"/>
    </w:rPr>
  </w:style>
  <w:style w:type="paragraph" w:customStyle="1" w:styleId="HeadingProcedure">
    <w:name w:val="Heading Procedure"/>
    <w:basedOn w:val="HeadingBase"/>
    <w:next w:val="Normal"/>
    <w:rsid w:val="001E4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785"/>
    <w:pPr>
      <w:spacing w:before="60" w:after="60"/>
    </w:pPr>
  </w:style>
  <w:style w:type="paragraph" w:styleId="ListContinue">
    <w:name w:val="List Continue"/>
    <w:basedOn w:val="List"/>
    <w:rsid w:val="001E4785"/>
    <w:pPr>
      <w:ind w:firstLine="0"/>
    </w:pPr>
  </w:style>
  <w:style w:type="paragraph" w:customStyle="1" w:styleId="ListNote">
    <w:name w:val="List Note"/>
    <w:basedOn w:val="List"/>
    <w:rsid w:val="001E4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785"/>
    <w:rPr>
      <w:rFonts w:ascii="Courier New" w:hAnsi="Courier New"/>
    </w:rPr>
  </w:style>
  <w:style w:type="paragraph" w:customStyle="1" w:styleId="NoteBullet">
    <w:name w:val="Note Bullet"/>
    <w:basedOn w:val="Note"/>
    <w:rsid w:val="001E4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785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1E4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7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785"/>
    <w:rPr>
      <w:b/>
      <w:smallCaps/>
    </w:rPr>
  </w:style>
  <w:style w:type="paragraph" w:customStyle="1" w:styleId="TableListNumber">
    <w:name w:val="Table List Number"/>
    <w:basedOn w:val="ListNumber"/>
    <w:rsid w:val="001E4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785"/>
    <w:pPr>
      <w:numPr>
        <w:numId w:val="9"/>
      </w:numPr>
    </w:pPr>
  </w:style>
  <w:style w:type="paragraph" w:customStyle="1" w:styleId="ListAlpha2">
    <w:name w:val="List Alpha 2"/>
    <w:basedOn w:val="List2"/>
    <w:rsid w:val="001E4785"/>
    <w:pPr>
      <w:numPr>
        <w:numId w:val="8"/>
      </w:numPr>
    </w:pPr>
  </w:style>
  <w:style w:type="paragraph" w:styleId="List2">
    <w:name w:val="List 2"/>
    <w:basedOn w:val="BodyText"/>
    <w:rsid w:val="001E4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7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7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785"/>
    <w:pPr>
      <w:numPr>
        <w:numId w:val="4"/>
      </w:numPr>
    </w:pPr>
  </w:style>
  <w:style w:type="paragraph" w:styleId="ListContinue2">
    <w:name w:val="List Continue 2"/>
    <w:basedOn w:val="List2"/>
    <w:rsid w:val="001E4785"/>
    <w:pPr>
      <w:ind w:firstLine="0"/>
    </w:pPr>
  </w:style>
  <w:style w:type="paragraph" w:styleId="ListContinue3">
    <w:name w:val="List Continue 3"/>
    <w:basedOn w:val="List3"/>
    <w:rsid w:val="001E4785"/>
    <w:pPr>
      <w:ind w:left="1021" w:firstLine="0"/>
    </w:pPr>
  </w:style>
  <w:style w:type="paragraph" w:styleId="ListContinue4">
    <w:name w:val="List Continue 4"/>
    <w:basedOn w:val="List4"/>
    <w:rsid w:val="001E4785"/>
    <w:pPr>
      <w:ind w:firstLine="0"/>
    </w:pPr>
  </w:style>
  <w:style w:type="paragraph" w:styleId="ListContinue5">
    <w:name w:val="List Continue 5"/>
    <w:basedOn w:val="List5"/>
    <w:rsid w:val="001E4785"/>
    <w:pPr>
      <w:ind w:firstLine="0"/>
    </w:pPr>
  </w:style>
  <w:style w:type="paragraph" w:styleId="ListNumber3">
    <w:name w:val="List Number 3"/>
    <w:basedOn w:val="List3"/>
    <w:rsid w:val="001E4785"/>
    <w:pPr>
      <w:numPr>
        <w:numId w:val="5"/>
      </w:numPr>
    </w:pPr>
  </w:style>
  <w:style w:type="paragraph" w:styleId="ListNumber4">
    <w:name w:val="List Number 4"/>
    <w:basedOn w:val="List4"/>
    <w:rsid w:val="001E4785"/>
    <w:pPr>
      <w:numPr>
        <w:numId w:val="6"/>
      </w:numPr>
    </w:pPr>
  </w:style>
  <w:style w:type="paragraph" w:styleId="ListNumber5">
    <w:name w:val="List Number 5"/>
    <w:basedOn w:val="List5"/>
    <w:rsid w:val="001E4785"/>
    <w:pPr>
      <w:numPr>
        <w:numId w:val="7"/>
      </w:numPr>
    </w:pPr>
  </w:style>
  <w:style w:type="paragraph" w:styleId="BlockText">
    <w:name w:val="Block Text"/>
    <w:basedOn w:val="Normal"/>
    <w:rsid w:val="001E4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785"/>
    <w:rPr>
      <w:sz w:val="16"/>
      <w:vertAlign w:val="superscript"/>
    </w:rPr>
  </w:style>
  <w:style w:type="character" w:customStyle="1" w:styleId="Symbols">
    <w:name w:val="Symbols"/>
    <w:basedOn w:val="DefaultParagraphFont"/>
    <w:rsid w:val="001E4785"/>
    <w:rPr>
      <w:rFonts w:ascii="Symbol" w:hAnsi="Symbol"/>
    </w:rPr>
  </w:style>
  <w:style w:type="character" w:customStyle="1" w:styleId="MenuOptions">
    <w:name w:val="Menu Options"/>
    <w:basedOn w:val="DefaultParagraphFont"/>
    <w:rsid w:val="001E4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785"/>
    <w:rPr>
      <w:b/>
    </w:rPr>
  </w:style>
  <w:style w:type="character" w:customStyle="1" w:styleId="Underlined">
    <w:name w:val="Underlined"/>
    <w:basedOn w:val="DefaultParagraphFont"/>
    <w:rsid w:val="001E4785"/>
    <w:rPr>
      <w:u w:val="single"/>
    </w:rPr>
  </w:style>
  <w:style w:type="paragraph" w:customStyle="1" w:styleId="TableBodyTextRight">
    <w:name w:val="Table Body Text Right"/>
    <w:basedOn w:val="TableBodyText"/>
    <w:rsid w:val="001E4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785"/>
    <w:rPr>
      <w:sz w:val="18"/>
    </w:rPr>
  </w:style>
  <w:style w:type="paragraph" w:customStyle="1" w:styleId="BodySmallRight">
    <w:name w:val="Body Small Right"/>
    <w:basedOn w:val="BodyTextRight"/>
    <w:rsid w:val="001E4785"/>
    <w:rPr>
      <w:sz w:val="18"/>
      <w:szCs w:val="18"/>
    </w:rPr>
  </w:style>
  <w:style w:type="paragraph" w:customStyle="1" w:styleId="MarginEdition">
    <w:name w:val="Margin Edition"/>
    <w:basedOn w:val="MarginNote"/>
    <w:rsid w:val="001E4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785"/>
    <w:rPr>
      <w:sz w:val="2"/>
      <w:szCs w:val="2"/>
    </w:rPr>
  </w:style>
  <w:style w:type="character" w:customStyle="1" w:styleId="Small">
    <w:name w:val="Small"/>
    <w:basedOn w:val="DefaultParagraphFont"/>
    <w:rsid w:val="001E4785"/>
    <w:rPr>
      <w:sz w:val="16"/>
    </w:rPr>
  </w:style>
  <w:style w:type="paragraph" w:customStyle="1" w:styleId="WideTable">
    <w:name w:val="Wide Table"/>
    <w:basedOn w:val="Normal"/>
    <w:rsid w:val="001E4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785"/>
  </w:style>
  <w:style w:type="paragraph" w:styleId="Quote">
    <w:name w:val="Quote"/>
    <w:basedOn w:val="Heading1"/>
    <w:link w:val="QuoteChar"/>
    <w:qFormat/>
    <w:rsid w:val="001E4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785"/>
    <w:pPr>
      <w:pageBreakBefore/>
    </w:pPr>
  </w:style>
  <w:style w:type="paragraph" w:customStyle="1" w:styleId="Border">
    <w:name w:val="Border"/>
    <w:basedOn w:val="Normal"/>
    <w:qFormat/>
    <w:rsid w:val="001E4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785"/>
    <w:rPr>
      <w:u w:val="single"/>
    </w:rPr>
  </w:style>
  <w:style w:type="character" w:customStyle="1" w:styleId="BoldandItalics">
    <w:name w:val="Bold and Italics"/>
    <w:qFormat/>
    <w:rsid w:val="001E4785"/>
    <w:rPr>
      <w:b/>
      <w:i/>
      <w:u w:val="none"/>
    </w:rPr>
  </w:style>
  <w:style w:type="paragraph" w:styleId="BalloonText">
    <w:name w:val="Balloon Text"/>
    <w:basedOn w:val="Normal"/>
    <w:link w:val="BalloonTextChar"/>
    <w:rsid w:val="001E4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785"/>
    <w:pPr>
      <w:spacing w:before="0" w:after="0"/>
    </w:pPr>
  </w:style>
  <w:style w:type="paragraph" w:customStyle="1" w:styleId="BodyTextBold">
    <w:name w:val="Body Text Bold"/>
    <w:basedOn w:val="BodyText"/>
    <w:qFormat/>
    <w:rsid w:val="001E4785"/>
    <w:rPr>
      <w:b/>
    </w:rPr>
  </w:style>
  <w:style w:type="character" w:styleId="Hyperlink">
    <w:name w:val="Hyperlink"/>
    <w:basedOn w:val="DefaultParagraphFont"/>
    <w:uiPriority w:val="99"/>
    <w:unhideWhenUsed/>
    <w:rsid w:val="003A5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5383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RIIWHS602D Incorporate health and hygiene factors into mine management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2020-07-08T06:40:00Z</dcterms:created>
  <dcterms:modified xsi:type="dcterms:W3CDTF">2020-07-08T06:40:00Z</dcterms:modified>
</cp:coreProperties>
</file>