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8B2" w:rsidP="008958B2">
      <w:pPr>
        <w:pStyle w:val="Title"/>
      </w:pPr>
      <w:r>
        <w:fldChar w:fldCharType="begin"/>
      </w:r>
      <w:r>
        <w:instrText xml:space="preserve"> TITLE   \* MERGEFORMAT </w:instrText>
      </w:r>
      <w:r>
        <w:fldChar w:fldCharType="separate"/>
      </w:r>
      <w:r>
        <w:t>Assessment Requirements for RIIWHS208 Operate within an autonomous workplace functional safety system</w:t>
      </w:r>
      <w:r>
        <w:fldChar w:fldCharType="end"/>
      </w:r>
    </w:p>
    <w:p w:rsidR="008958B2" w:rsidP="008958B2">
      <w:pPr>
        <w:pStyle w:val="Version"/>
        <w:sectPr w:rsidSect="00636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C61" w:rsidP="00636C61">
      <w:pPr>
        <w:pStyle w:val="SuperHeading"/>
      </w:pPr>
      <w:r w:rsidRPr="00636C61">
        <w:t>Assessment Requirements for RIIWHS208 Operate within an autonomous workplace functional safety system</w:t>
      </w:r>
    </w:p>
    <w:p w:rsidR="00000000" w:rsidRPr="00636C61" w:rsidP="00636C61">
      <w:pPr>
        <w:pStyle w:val="Heading1"/>
      </w:pPr>
      <w:bookmarkStart w:id="1" w:name="O_1257544"/>
      <w:bookmarkEnd w:id="1"/>
      <w:r w:rsidRPr="00636C61">
        <w:t>Modification History</w:t>
      </w:r>
    </w:p>
    <w:tbl>
      <w:tblPr>
        <w:tblW w:w="0" w:type="auto"/>
        <w:tblLayout w:type="fixed"/>
        <w:tblCellMar>
          <w:left w:w="62" w:type="dxa"/>
          <w:right w:w="62" w:type="dxa"/>
        </w:tblCellMar>
        <w:tblLook w:val="0000"/>
      </w:tblPr>
      <w:tblGrid>
        <w:gridCol w:w="2684"/>
        <w:gridCol w:w="6388"/>
      </w:tblGrid>
      <w:tr w:rsidTr="00636C61">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C61">
            <w:pPr>
              <w:pStyle w:val="BodyText"/>
              <w:rPr>
                <w:lang w:val="en-NZ"/>
              </w:rPr>
            </w:pPr>
            <w:r w:rsidRPr="00636C61">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C61" w:rsidP="00636C61">
            <w:pPr>
              <w:pStyle w:val="BodyText"/>
            </w:pPr>
            <w:r w:rsidRPr="00636C61">
              <w:t>This version first released with RII Resources and Infrastructure Industry Training Package Version 9.0.</w:t>
            </w:r>
          </w:p>
          <w:p w:rsidR="00000000" w:rsidRPr="00636C61" w:rsidP="00636C61">
            <w:pPr>
              <w:pStyle w:val="BodyText"/>
            </w:pPr>
            <w:r w:rsidRPr="00636C61">
              <w:t>Newly created unit.</w:t>
            </w:r>
          </w:p>
        </w:tc>
      </w:tr>
    </w:tbl>
    <w:p w:rsidR="00000000" w:rsidRPr="00636C61" w:rsidP="00636C61">
      <w:pPr>
        <w:pStyle w:val="BodyText"/>
      </w:pPr>
    </w:p>
    <w:p w:rsidR="00000000" w:rsidRPr="00636C61" w:rsidP="00636C61">
      <w:pPr>
        <w:pStyle w:val="AllowPageBreak"/>
      </w:pPr>
    </w:p>
    <w:p w:rsidR="00000000" w:rsidRPr="00636C61" w:rsidP="00636C61">
      <w:pPr>
        <w:pStyle w:val="Heading1"/>
      </w:pPr>
      <w:bookmarkStart w:id="2" w:name="O_1257545"/>
      <w:bookmarkEnd w:id="2"/>
      <w:r w:rsidRPr="00636C61">
        <w:t>Performance Evidence</w:t>
      </w:r>
    </w:p>
    <w:p w:rsidR="00000000" w:rsidRPr="00636C61" w:rsidP="008958B2">
      <w:pPr>
        <w:pStyle w:val="BodyText"/>
      </w:pPr>
      <w:r w:rsidRPr="00636C61">
        <w:t>The candidate must demonstrate the ability to complete the tasks outlined in the elements</w:t>
      </w:r>
      <w:r w:rsidRPr="00636C61">
        <w:t>, performance criteria and foundation skills of this unit, including evidence of the ability to:</w:t>
      </w:r>
    </w:p>
    <w:p w:rsidR="00000000" w:rsidRPr="00636C61" w:rsidP="00636C61">
      <w:pPr>
        <w:pStyle w:val="ListBullet"/>
      </w:pPr>
      <w:r w:rsidRPr="00636C61">
        <w:t>undertake pre-start inspections of autonomous equipment on at least 2 different occasions and report asset condition according to organisational requirements</w:t>
      </w:r>
    </w:p>
    <w:p w:rsidR="00000000" w:rsidRPr="00636C61" w:rsidP="00636C61">
      <w:pPr>
        <w:pStyle w:val="ListBullet"/>
      </w:pPr>
      <w:r w:rsidRPr="00636C61">
        <w:t>undertake at least 3 different work tasks that require the application of personal, asset and environmental safety procedures.</w:t>
      </w:r>
    </w:p>
    <w:p w:rsidR="00000000" w:rsidRPr="00636C61" w:rsidP="00636C61">
      <w:pPr>
        <w:pStyle w:val="BodyText"/>
      </w:pPr>
    </w:p>
    <w:p w:rsidR="00000000" w:rsidRPr="00636C61" w:rsidP="008958B2">
      <w:pPr>
        <w:pStyle w:val="BodyText"/>
      </w:pPr>
      <w:r w:rsidRPr="00636C61">
        <w:t>During the above, the candidate must:</w:t>
      </w:r>
    </w:p>
    <w:p w:rsidR="00000000" w:rsidRPr="00636C61" w:rsidP="00636C61">
      <w:pPr>
        <w:pStyle w:val="ListBullet"/>
      </w:pPr>
      <w:r w:rsidRPr="00636C61">
        <w:t>use at least 3 elements of a functional safety system according to organisational procedu</w:t>
      </w:r>
      <w:r w:rsidRPr="00636C61">
        <w:t>res</w:t>
      </w:r>
    </w:p>
    <w:p w:rsidR="00000000" w:rsidRPr="00636C61" w:rsidP="00636C61">
      <w:pPr>
        <w:pStyle w:val="ListBullet"/>
      </w:pPr>
      <w:r w:rsidRPr="00636C61">
        <w:t>use at least 2 different personal safety systems that protect people operating in an autonomous workplace</w:t>
      </w:r>
    </w:p>
    <w:p w:rsidR="00000000" w:rsidRPr="00636C61" w:rsidP="00636C61">
      <w:pPr>
        <w:pStyle w:val="ListBullet"/>
      </w:pPr>
      <w:r w:rsidRPr="00636C61">
        <w:t>identify at least 5 operational states of equipment (failure, active, stand-by, emergency, suspend, maintenance)</w:t>
      </w:r>
    </w:p>
    <w:p w:rsidR="00000000" w:rsidRPr="00636C61" w:rsidP="00636C61">
      <w:pPr>
        <w:pStyle w:val="ListBullet"/>
      </w:pPr>
      <w:r w:rsidRPr="00636C61">
        <w:t>observe and identify at least 5 indicators of abnormal operation of equipment in the autonomous workplace</w:t>
      </w:r>
    </w:p>
    <w:p w:rsidR="00000000" w:rsidRPr="00636C61" w:rsidP="00636C61">
      <w:pPr>
        <w:pStyle w:val="ListBullet"/>
      </w:pPr>
      <w:r w:rsidRPr="00636C61">
        <w:t>identify and report indicators of abnormal operation of autonomous equipment.</w:t>
      </w:r>
    </w:p>
    <w:p w:rsidR="00000000" w:rsidRPr="00636C61" w:rsidP="00636C61">
      <w:pPr>
        <w:pStyle w:val="AllowPageBreak"/>
      </w:pPr>
    </w:p>
    <w:p w:rsidR="00000000" w:rsidRPr="00636C61" w:rsidP="00636C61">
      <w:pPr>
        <w:pStyle w:val="Heading1"/>
      </w:pPr>
      <w:bookmarkStart w:id="3" w:name="O_1257546"/>
      <w:bookmarkEnd w:id="3"/>
      <w:r w:rsidRPr="00636C61">
        <w:t>Knowledge Evidence</w:t>
      </w:r>
    </w:p>
    <w:p w:rsidR="00000000" w:rsidRPr="00636C61" w:rsidP="008958B2">
      <w:pPr>
        <w:pStyle w:val="BodyText"/>
      </w:pPr>
      <w:r w:rsidRPr="00636C61">
        <w:t>The candidate must be able to demo</w:t>
      </w:r>
      <w:r w:rsidRPr="00636C61">
        <w:t>nstrate knowledge to complete the tasks outlined in the elements, performance criteria and foundation skills of this unit, including knowledge of:</w:t>
      </w:r>
    </w:p>
    <w:p w:rsidR="00000000" w:rsidRPr="00636C61" w:rsidP="00636C61">
      <w:pPr>
        <w:pStyle w:val="ListBullet"/>
      </w:pPr>
      <w:r w:rsidRPr="00636C61">
        <w:t>procedures for accessing, and techniques for interpreting, workplace procedures that reflect the requirement</w:t>
      </w:r>
      <w:r w:rsidRPr="00636C61">
        <w:t>s of the latest published versions of Functional Safety industry standards that apply to own role, including or equivalent to:</w:t>
      </w:r>
    </w:p>
    <w:p w:rsidR="00000000" w:rsidRPr="00636C61" w:rsidP="00636C61">
      <w:pPr>
        <w:pStyle w:val="ListBullet2"/>
      </w:pPr>
      <w:r w:rsidRPr="00636C61">
        <w:t>IEC 61508 / AS 61508 Functional safety of electrical/electronic/programmable electronic safety-related systems</w:t>
      </w:r>
    </w:p>
    <w:p w:rsidR="00000000" w:rsidRPr="00636C61" w:rsidP="00636C61">
      <w:pPr>
        <w:pStyle w:val="ListBullet2"/>
      </w:pPr>
      <w:r w:rsidRPr="00636C61">
        <w:t xml:space="preserve">IEC 62061 Safety </w:t>
      </w:r>
      <w:r w:rsidRPr="00636C61">
        <w:t>of Machinery – Functional Safety of Safety Related Control Systems</w:t>
      </w:r>
    </w:p>
    <w:p w:rsidR="00000000" w:rsidRPr="00636C61" w:rsidP="00636C61">
      <w:pPr>
        <w:pStyle w:val="ListBullet2"/>
      </w:pPr>
      <w:r w:rsidRPr="00636C61">
        <w:t>ISO 13849 Safety of Machinery – Safety Related Parts of Control Systems</w:t>
      </w:r>
    </w:p>
    <w:p w:rsidR="00000000" w:rsidRPr="00636C61" w:rsidP="00636C61">
      <w:pPr>
        <w:pStyle w:val="ListBullet2"/>
      </w:pPr>
      <w:r w:rsidRPr="00636C61">
        <w:t>ISO 17757 Earth-moving machinery and mining – Autonomous and semi-autonomous machine system safety</w:t>
      </w:r>
    </w:p>
    <w:p w:rsidR="00000000" w:rsidRPr="00636C61" w:rsidP="00636C61">
      <w:pPr>
        <w:pStyle w:val="ListBullet"/>
      </w:pPr>
      <w:r w:rsidRPr="00636C61">
        <w:t>purpose and key e</w:t>
      </w:r>
      <w:r w:rsidRPr="00636C61">
        <w:t>lements of functional safety system</w:t>
      </w:r>
    </w:p>
    <w:p w:rsidR="00000000" w:rsidRPr="00636C61" w:rsidP="00636C61">
      <w:pPr>
        <w:pStyle w:val="ListBullet"/>
      </w:pPr>
      <w:r w:rsidRPr="00636C61">
        <w:t>processes and procedures for applying functional safety in the workplace</w:t>
      </w:r>
    </w:p>
    <w:p w:rsidR="00000000" w:rsidRPr="00636C61" w:rsidP="00636C61">
      <w:pPr>
        <w:pStyle w:val="ListBullet"/>
      </w:pPr>
      <w:r w:rsidRPr="00636C61">
        <w:t>competencies and authorisation processes and procedures required to carry out autonomous operations in specific tasks</w:t>
      </w:r>
    </w:p>
    <w:p w:rsidR="00000000" w:rsidRPr="00636C61" w:rsidP="00636C61">
      <w:pPr>
        <w:pStyle w:val="ListBullet"/>
      </w:pPr>
      <w:r w:rsidRPr="00636C61">
        <w:t>organisational procedures for mitigating hazards and risks to one’s personal safety</w:t>
      </w:r>
    </w:p>
    <w:p w:rsidR="00000000" w:rsidRPr="00636C61" w:rsidP="00636C61">
      <w:pPr>
        <w:pStyle w:val="ListBullet"/>
      </w:pPr>
      <w:r w:rsidRPr="00636C61">
        <w:t>benefits that a functional safety system have on:</w:t>
      </w:r>
    </w:p>
    <w:p w:rsidR="00000000" w:rsidRPr="00636C61" w:rsidP="00636C61">
      <w:pPr>
        <w:pStyle w:val="ListBullet2"/>
      </w:pPr>
      <w:r w:rsidRPr="00636C61">
        <w:t>people</w:t>
      </w:r>
    </w:p>
    <w:p w:rsidR="00000000" w:rsidRPr="00636C61" w:rsidP="00636C61">
      <w:pPr>
        <w:pStyle w:val="ListBullet2"/>
      </w:pPr>
      <w:r w:rsidRPr="00636C61">
        <w:t>assets</w:t>
      </w:r>
    </w:p>
    <w:p w:rsidR="00000000" w:rsidRPr="00636C61" w:rsidP="00636C61">
      <w:pPr>
        <w:pStyle w:val="ListBullet2"/>
      </w:pPr>
      <w:r w:rsidRPr="00636C61">
        <w:t>environment</w:t>
      </w:r>
    </w:p>
    <w:p w:rsidR="00000000" w:rsidRPr="00636C61" w:rsidP="00636C61">
      <w:pPr>
        <w:pStyle w:val="ListBullet2"/>
      </w:pPr>
      <w:r w:rsidRPr="00636C61">
        <w:t>community</w:t>
      </w:r>
    </w:p>
    <w:p w:rsidR="00000000" w:rsidRPr="00636C61" w:rsidP="00636C61">
      <w:pPr>
        <w:pStyle w:val="ListBullet"/>
      </w:pPr>
      <w:r w:rsidRPr="00636C61">
        <w:t>organisational authorisation processes/procedures required to operate within a funct</w:t>
      </w:r>
      <w:r w:rsidRPr="00636C61">
        <w:t>ional safety system</w:t>
      </w:r>
    </w:p>
    <w:p w:rsidR="00000000" w:rsidRPr="00636C61" w:rsidP="00636C61">
      <w:pPr>
        <w:pStyle w:val="ListBullet"/>
      </w:pPr>
      <w:r w:rsidRPr="00636C61">
        <w:t>operational requirements of technical system safety elements to ensure the protection of people and assets, with elements, including:</w:t>
      </w:r>
    </w:p>
    <w:p w:rsidR="00000000" w:rsidRPr="00636C61" w:rsidP="00636C61">
      <w:pPr>
        <w:pStyle w:val="ListBullet2"/>
      </w:pPr>
      <w:r w:rsidRPr="00636C61">
        <w:t>layers of protection</w:t>
      </w:r>
    </w:p>
    <w:p w:rsidR="00000000" w:rsidRPr="00636C61" w:rsidP="00636C61">
      <w:pPr>
        <w:pStyle w:val="ListBullet2"/>
      </w:pPr>
      <w:r w:rsidRPr="00636C61">
        <w:t>exclusion zones</w:t>
      </w:r>
    </w:p>
    <w:p w:rsidR="00000000" w:rsidRPr="00636C61" w:rsidP="00636C61">
      <w:pPr>
        <w:pStyle w:val="ListBullet2"/>
      </w:pPr>
      <w:r w:rsidRPr="00636C61">
        <w:t>personal systems - emergency stop button/pull wires</w:t>
      </w:r>
    </w:p>
    <w:p w:rsidR="00000000" w:rsidRPr="00636C61" w:rsidP="00636C61">
      <w:pPr>
        <w:pStyle w:val="ListBullet2"/>
      </w:pPr>
      <w:r w:rsidRPr="00636C61">
        <w:t>access contr</w:t>
      </w:r>
      <w:r w:rsidRPr="00636C61">
        <w:t>ols include swipe cards, location devices, locking systems, codes</w:t>
      </w:r>
    </w:p>
    <w:p w:rsidR="00000000" w:rsidRPr="00636C61" w:rsidP="00636C61">
      <w:pPr>
        <w:pStyle w:val="ListBullet2"/>
      </w:pPr>
      <w:r w:rsidRPr="00636C61">
        <w:t>indicators, mode lights, alarms</w:t>
      </w:r>
    </w:p>
    <w:p w:rsidR="00000000" w:rsidRPr="00636C61" w:rsidP="00636C61">
      <w:pPr>
        <w:pStyle w:val="ListBullet"/>
      </w:pPr>
      <w:r w:rsidRPr="00636C61">
        <w:t>modes of operation of autonomous equipment</w:t>
      </w:r>
    </w:p>
    <w:p w:rsidR="00000000" w:rsidRPr="00636C61" w:rsidP="00636C61">
      <w:pPr>
        <w:pStyle w:val="ListBullet"/>
      </w:pPr>
      <w:r w:rsidRPr="00636C61">
        <w:t>hierarchy of safety controls applied during the use of autonomous equipment</w:t>
      </w:r>
    </w:p>
    <w:p w:rsidR="00000000" w:rsidRPr="00636C61" w:rsidP="00636C61">
      <w:pPr>
        <w:pStyle w:val="ListBullet"/>
      </w:pPr>
      <w:r w:rsidRPr="00636C61">
        <w:t>possible data sources for abnormal behaviour, including at least 1 of the following:</w:t>
      </w:r>
    </w:p>
    <w:p w:rsidR="00000000" w:rsidRPr="00636C61" w:rsidP="00636C61">
      <w:pPr>
        <w:pStyle w:val="ListBullet2"/>
      </w:pPr>
      <w:r w:rsidRPr="00636C61">
        <w:t>noises</w:t>
      </w:r>
    </w:p>
    <w:p w:rsidR="00000000" w:rsidRPr="00636C61" w:rsidP="00636C61">
      <w:pPr>
        <w:pStyle w:val="ListBullet2"/>
      </w:pPr>
      <w:r w:rsidRPr="00636C61">
        <w:t>leaks on road or spillage</w:t>
      </w:r>
    </w:p>
    <w:p w:rsidR="00000000" w:rsidRPr="00636C61" w:rsidP="00636C61">
      <w:pPr>
        <w:pStyle w:val="ListBullet2"/>
      </w:pPr>
      <w:r w:rsidRPr="00636C61">
        <w:t>tyre damage</w:t>
      </w:r>
    </w:p>
    <w:p w:rsidR="00000000" w:rsidRPr="00636C61" w:rsidP="00636C61">
      <w:pPr>
        <w:pStyle w:val="ListBullet2"/>
      </w:pPr>
      <w:r w:rsidRPr="00636C61">
        <w:t>smoke</w:t>
      </w:r>
    </w:p>
    <w:p w:rsidR="00000000" w:rsidRPr="00636C61" w:rsidP="00636C61">
      <w:pPr>
        <w:pStyle w:val="ListBullet2"/>
      </w:pPr>
      <w:r w:rsidRPr="00636C61">
        <w:t>dirty sensors</w:t>
      </w:r>
    </w:p>
    <w:p w:rsidR="00000000" w:rsidRPr="00636C61" w:rsidP="00636C61">
      <w:pPr>
        <w:pStyle w:val="ListBullet2"/>
      </w:pPr>
      <w:r w:rsidRPr="00636C61">
        <w:t>rough ground</w:t>
      </w:r>
    </w:p>
    <w:p w:rsidR="00000000" w:rsidRPr="00636C61" w:rsidP="00636C61">
      <w:pPr>
        <w:pStyle w:val="ListBullet"/>
      </w:pPr>
      <w:r w:rsidRPr="00636C61">
        <w:t>organisational procedures for conducting various system tests, including:</w:t>
      </w:r>
    </w:p>
    <w:p w:rsidR="00000000" w:rsidRPr="00636C61" w:rsidP="00636C61">
      <w:pPr>
        <w:pStyle w:val="ListBullet2"/>
      </w:pPr>
      <w:r w:rsidRPr="00636C61">
        <w:t>pre-starts</w:t>
      </w:r>
    </w:p>
    <w:p w:rsidR="00000000" w:rsidRPr="00636C61" w:rsidP="00636C61">
      <w:pPr>
        <w:pStyle w:val="ListBullet2"/>
      </w:pPr>
      <w:r w:rsidRPr="00636C61">
        <w:t>inspe</w:t>
      </w:r>
      <w:r w:rsidRPr="00636C61">
        <w:t>ctions</w:t>
      </w:r>
    </w:p>
    <w:p w:rsidR="00000000" w:rsidRPr="00636C61" w:rsidP="00636C61">
      <w:pPr>
        <w:pStyle w:val="ListBullet2"/>
      </w:pPr>
      <w:r w:rsidRPr="00636C61">
        <w:t>two-way radio check</w:t>
      </w:r>
    </w:p>
    <w:p w:rsidR="00000000" w:rsidRPr="00636C61" w:rsidP="00636C61">
      <w:pPr>
        <w:pStyle w:val="ListBullet"/>
      </w:pPr>
      <w:r w:rsidRPr="00636C61">
        <w:t>organisational requirements relating to the schedule of maintenance, testing, and reporting within own role</w:t>
      </w:r>
    </w:p>
    <w:p w:rsidR="00000000" w:rsidRPr="00636C61" w:rsidP="00636C61">
      <w:pPr>
        <w:pStyle w:val="ListBullet"/>
      </w:pPr>
      <w:r w:rsidRPr="00636C61">
        <w:t>emergency procedures:</w:t>
      </w:r>
    </w:p>
    <w:p w:rsidR="00000000" w:rsidRPr="00636C61" w:rsidP="00636C61">
      <w:pPr>
        <w:pStyle w:val="ListBullet2"/>
      </w:pPr>
      <w:r w:rsidRPr="00636C61">
        <w:t>evacuation and muster points</w:t>
      </w:r>
    </w:p>
    <w:p w:rsidR="00000000" w:rsidRPr="00636C61" w:rsidP="00636C61">
      <w:pPr>
        <w:pStyle w:val="ListBullet2"/>
      </w:pPr>
      <w:r w:rsidRPr="00636C61">
        <w:t>radio protocols for an emergency situation</w:t>
      </w:r>
    </w:p>
    <w:p w:rsidR="00000000" w:rsidRPr="00636C61" w:rsidP="00636C61">
      <w:pPr>
        <w:pStyle w:val="ListBullet"/>
      </w:pPr>
      <w:r w:rsidRPr="00636C61">
        <w:t>impact of environmental conditions on the safety of autonomous systems and equipment operation, people, and community according to organisational functional safety frameworks.</w:t>
      </w:r>
    </w:p>
    <w:p w:rsidR="00000000" w:rsidRPr="00636C61" w:rsidP="00636C61">
      <w:pPr>
        <w:pStyle w:val="AllowPageBreak"/>
      </w:pPr>
    </w:p>
    <w:p w:rsidR="00000000" w:rsidRPr="00636C61" w:rsidP="00636C61">
      <w:pPr>
        <w:pStyle w:val="Heading1"/>
      </w:pPr>
      <w:bookmarkStart w:id="4" w:name="O_1257547"/>
      <w:bookmarkEnd w:id="4"/>
      <w:r w:rsidRPr="00636C61">
        <w:t>Assessment Conditions</w:t>
      </w:r>
    </w:p>
    <w:p w:rsidR="00000000" w:rsidRPr="00636C61" w:rsidP="008958B2">
      <w:pPr>
        <w:pStyle w:val="BodyText"/>
      </w:pPr>
      <w:r w:rsidRPr="00636C61">
        <w:t xml:space="preserve">Mandatory conditions for assessment of </w:t>
      </w:r>
      <w:r w:rsidRPr="00636C61">
        <w:t>this unit are stipulated below. The assessment must:</w:t>
      </w:r>
    </w:p>
    <w:p w:rsidR="00000000" w:rsidRPr="00636C61" w:rsidP="00636C61">
      <w:pPr>
        <w:pStyle w:val="ListBullet"/>
      </w:pPr>
      <w:r w:rsidRPr="00636C61">
        <w:t>include access to:</w:t>
      </w:r>
    </w:p>
    <w:p w:rsidR="00000000" w:rsidRPr="00636C61" w:rsidP="00636C61">
      <w:pPr>
        <w:pStyle w:val="ListBullet2"/>
      </w:pPr>
      <w:r w:rsidRPr="00636C61">
        <w:t>personal protective equipment</w:t>
      </w:r>
    </w:p>
    <w:p w:rsidR="00000000" w:rsidRPr="00636C61" w:rsidP="00636C61">
      <w:pPr>
        <w:pStyle w:val="ListBullet2"/>
      </w:pPr>
      <w:r w:rsidRPr="00636C61">
        <w:t>equipment required to work safely in autonomous environments</w:t>
      </w:r>
    </w:p>
    <w:p w:rsidR="00000000" w:rsidRPr="00636C61" w:rsidP="00636C61">
      <w:pPr>
        <w:pStyle w:val="ListBullet2"/>
      </w:pPr>
      <w:r w:rsidRPr="00636C61">
        <w:t>documentation relevant to working in the functional safety system</w:t>
      </w:r>
    </w:p>
    <w:p w:rsidR="00000000" w:rsidRPr="00636C61" w:rsidP="00636C61">
      <w:pPr>
        <w:pStyle w:val="ListBullet"/>
      </w:pPr>
      <w:r w:rsidRPr="00636C61">
        <w:t>be conducted in a safe e</w:t>
      </w:r>
      <w:r w:rsidRPr="00636C61">
        <w:t>nvironment; and,</w:t>
      </w:r>
    </w:p>
    <w:p w:rsidR="00000000" w:rsidRPr="00636C61" w:rsidP="00636C61">
      <w:pPr>
        <w:pStyle w:val="ListBullet"/>
      </w:pPr>
      <w:r w:rsidRPr="00636C61">
        <w:t>be assessed in the context of this sector’s work environment; and,</w:t>
      </w:r>
    </w:p>
    <w:p w:rsidR="00000000" w:rsidRPr="00636C61" w:rsidP="00636C61">
      <w:pPr>
        <w:pStyle w:val="ListBullet"/>
      </w:pPr>
      <w:r w:rsidRPr="00636C61">
        <w:t>be assessed in compliance with legislative and regulatory requirements and using policies, procedures and processes directly related to the industry sector for which the un</w:t>
      </w:r>
      <w:r w:rsidRPr="00636C61">
        <w:t>it is being assessed; and,</w:t>
      </w:r>
    </w:p>
    <w:p w:rsidR="00000000" w:rsidRPr="00636C61" w:rsidP="00636C61">
      <w:pPr>
        <w:pStyle w:val="ListBullet"/>
      </w:pPr>
      <w:r w:rsidRPr="00636C61">
        <w:t>confirm consistent performance can be applied in a range of relevant workplace circumstances.</w:t>
      </w:r>
    </w:p>
    <w:p w:rsidR="00000000" w:rsidRPr="00636C61" w:rsidP="00636C61">
      <w:pPr>
        <w:pStyle w:val="BodyText"/>
      </w:pPr>
    </w:p>
    <w:p w:rsidR="00000000" w:rsidRPr="00636C61" w:rsidP="008958B2">
      <w:pPr>
        <w:pStyle w:val="BodyText"/>
      </w:pPr>
      <w:r w:rsidRPr="00636C61">
        <w:t>Where personal safety or environmental damage are limiting factors, assessment may occur in a simulated work environment* provided it is realistic and sufficiently rigorous to cover all aspects of this sector’s workplace performance, including environment,</w:t>
      </w:r>
      <w:r w:rsidRPr="00636C61">
        <w:t xml:space="preserve"> task skills, task management skills, contingency management skills and job role environment skills.</w:t>
      </w:r>
    </w:p>
    <w:p w:rsidR="00000000" w:rsidRPr="00636C61" w:rsidP="00636C61">
      <w:pPr>
        <w:pStyle w:val="Heading3"/>
      </w:pPr>
      <w:r w:rsidRPr="00636C61">
        <w:t>Assessor requirements</w:t>
      </w:r>
    </w:p>
    <w:p w:rsidR="00000000" w:rsidRPr="00636C61" w:rsidP="008958B2">
      <w:pPr>
        <w:pStyle w:val="BodyText"/>
      </w:pPr>
      <w:r w:rsidRPr="00636C61">
        <w:t>Assessors must be able to clearly demonstrate current and relevant industry knowledge and experience to satisfy the mandatory regulat</w:t>
      </w:r>
      <w:r w:rsidRPr="00636C61">
        <w:t>ory standards as set out in the Standards for Registered Training Organisations 2015/Australian Quality Training Framework mandatory requirements for assessors current at the time of assessment and any relevant licensing and certification requirements.</w:t>
      </w:r>
    </w:p>
    <w:p w:rsidR="00000000" w:rsidRPr="00636C61" w:rsidP="008958B2">
      <w:pPr>
        <w:pStyle w:val="BodyText"/>
      </w:pPr>
      <w:r w:rsidRPr="00636C61">
        <w:t>Thi</w:t>
      </w:r>
      <w:r w:rsidRPr="00636C61">
        <w:t>s includes:</w:t>
      </w:r>
    </w:p>
    <w:p w:rsidR="00000000" w:rsidRPr="00636C61" w:rsidP="00636C61">
      <w:pPr>
        <w:pStyle w:val="ListBullet"/>
      </w:pPr>
      <w:r w:rsidRPr="00636C61">
        <w:t>the minimum years of current** work experience after competency has been obtained as specified below in an industry sector relevant to the outcomes of the unit.</w:t>
      </w:r>
    </w:p>
    <w:p w:rsidR="00000000" w:rsidRPr="00636C61" w:rsidP="00636C61">
      <w:pPr>
        <w:pStyle w:val="BodyText"/>
      </w:pPr>
    </w:p>
    <w:p w:rsidR="00000000" w:rsidRPr="00636C61" w:rsidP="008958B2">
      <w:pPr>
        <w:pStyle w:val="BodyText"/>
      </w:pPr>
      <w:r w:rsidRPr="00636C61">
        <w:t>It is also acceptable for the appropriately qualified assessor to work with an in</w:t>
      </w:r>
      <w:r w:rsidRPr="00636C61">
        <w:t>dustry expert to conduct assessment together and for the industry expert to be involved in the assessment judgement. The industry expert must have current industry skills directly relevant to the training and assessment being provided. This means the indus</w:t>
      </w:r>
      <w:r w:rsidRPr="00636C61">
        <w:t>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636C61">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TableHeading"/>
              <w:rPr>
                <w:lang w:val="en-NZ"/>
              </w:rPr>
            </w:pPr>
            <w:r w:rsidRPr="00636C61">
              <w:t xml:space="preserve">Industry sector/Unit </w:t>
            </w:r>
            <w:r w:rsidRPr="00636C61">
              <w:t>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TableHeading"/>
              <w:rPr>
                <w:lang w:val="en-NZ"/>
              </w:rPr>
            </w:pPr>
            <w:r w:rsidRPr="00636C61">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TableHeading"/>
              <w:rPr>
                <w:lang w:val="en-NZ"/>
              </w:rPr>
            </w:pPr>
            <w:r w:rsidRPr="00636C61">
              <w:t>Required assessor or industry subject matter expert experience</w:t>
            </w:r>
          </w:p>
        </w:tc>
      </w:tr>
      <w:tr w:rsidTr="00636C61">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1 year</w:t>
            </w:r>
          </w:p>
        </w:tc>
      </w:tr>
      <w:tr w:rsidTr="00636C61">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2 years</w:t>
            </w:r>
          </w:p>
        </w:tc>
      </w:tr>
      <w:tr w:rsidTr="00636C6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3 years</w:t>
            </w:r>
          </w:p>
        </w:tc>
      </w:tr>
      <w:tr w:rsidTr="00636C6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Given that this is an emerging industry area, assessors are required to demonstrate vocational competencies at least to the level being assessed, and current industry skills directly relevant to the assessment being provided.</w:t>
            </w:r>
          </w:p>
        </w:tc>
      </w:tr>
      <w:tr w:rsidTr="00636C6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C61">
            <w:pPr>
              <w:pStyle w:val="BodyText"/>
              <w:rPr>
                <w:lang w:val="en-NZ"/>
              </w:rPr>
            </w:pPr>
            <w:r w:rsidRPr="00636C61">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C61" w:rsidP="00636C61">
            <w:pPr>
              <w:pStyle w:val="BodyText"/>
            </w:pPr>
            <w:r w:rsidRPr="00636C61">
              <w:t>Where this uni</w:t>
            </w:r>
            <w:r w:rsidRPr="00636C61">
              <w:t>t is being assessed outside of the resources and infrastructure sectors assessor and/or industry subject matter expert experience should be in line with industry standards for the sector in which it is being assessed and where no industry standard is speci</w:t>
            </w:r>
            <w:r w:rsidRPr="00636C61">
              <w:t>fied should comply with any relevant regulation.</w:t>
            </w:r>
          </w:p>
        </w:tc>
      </w:tr>
    </w:tbl>
    <w:p w:rsidR="00000000" w:rsidRPr="00636C61" w:rsidP="008958B2">
      <w:pPr>
        <w:pStyle w:val="BodyText"/>
      </w:pPr>
      <w:r w:rsidRPr="00636C61">
        <w:t>*Guidance on simulated environments has been stipulated in the Companion Volume Implementation Guide located on VETNet.</w:t>
      </w:r>
    </w:p>
    <w:p w:rsidR="00000000" w:rsidRPr="00636C61" w:rsidP="008958B2">
      <w:pPr>
        <w:pStyle w:val="BodyText"/>
      </w:pPr>
      <w:r w:rsidRPr="00636C61">
        <w:t>**Assessors can demonstrate current work experience through employment within industr</w:t>
      </w:r>
      <w:r w:rsidRPr="00636C61">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36C61" w:rsidP="008958B2">
      <w:pPr>
        <w:pStyle w:val="BodyText"/>
      </w:pPr>
      <w:r w:rsidRPr="00636C61">
        <w:t>*</w:t>
      </w:r>
      <w:r w:rsidRPr="00636C61">
        <w:t>**Excluding units coded ‘RIIARO’ (Autonomous and Remote Operations).</w:t>
      </w:r>
    </w:p>
    <w:p w:rsidR="00000000" w:rsidRPr="00636C61" w:rsidP="00636C61">
      <w:pPr>
        <w:pStyle w:val="Heading1"/>
      </w:pPr>
      <w:bookmarkStart w:id="5" w:name="O_1257550"/>
      <w:bookmarkEnd w:id="5"/>
      <w:r w:rsidRPr="00636C61">
        <w:t>Links</w:t>
      </w:r>
    </w:p>
    <w:p w:rsidR="00000000" w:rsidRPr="00636C61" w:rsidP="008958B2">
      <w:pPr>
        <w:pStyle w:val="BodyText"/>
      </w:pPr>
      <w:r w:rsidRPr="00636C6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757A9">
        <w:rPr>
          <w:rStyle w:val="Hyperlink"/>
        </w:rPr>
        <w:t>https://vetnet.gov.au/Pages/TrainingDocs.aspx?q=88a61002-9a21-4386-aaf8-69c76e675272</w:t>
      </w:r>
      <w:r>
        <w:fldChar w:fldCharType="end"/>
      </w:r>
    </w:p>
    <w:p w:rsidR="00000000" w:rsidRPr="00636C61" w:rsidP="00636C61"/>
    <w:sectPr w:rsidSect="00636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61" w:rsidRPr="008958B2" w:rsidP="0089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B2" w:rsidP="00636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8B2" w:rsidP="00636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958B2" w:rsidP="00636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C61" w:rsidRPr="008958B2" w:rsidP="00895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B2" w:rsidRPr="002D2AF8" w:rsidP="00636C61">
    <w:pPr>
      <w:pStyle w:val="Header"/>
      <w:framePr w:wrap="around"/>
    </w:pPr>
    <w:r>
      <w:fldChar w:fldCharType="begin"/>
    </w:r>
    <w:r>
      <w:instrText xml:space="preserve"> TITLE   \* MERGEFORMAT </w:instrText>
    </w:r>
    <w:r>
      <w:fldChar w:fldCharType="separate"/>
    </w:r>
    <w:r>
      <w:t>Assessment Requirements for RIIWHS208 Operate within an autonomous workplace functional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958B2" w:rsidP="00636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E3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2B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AA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C61"/>
    <w:pPr>
      <w:spacing w:before="360" w:after="60"/>
      <w:outlineLvl w:val="0"/>
    </w:pPr>
    <w:rPr>
      <w:sz w:val="32"/>
    </w:rPr>
  </w:style>
  <w:style w:type="paragraph" w:styleId="Heading2">
    <w:name w:val="heading 2"/>
    <w:basedOn w:val="HeadingBase"/>
    <w:next w:val="BodyText"/>
    <w:link w:val="Heading2Char"/>
    <w:qFormat/>
    <w:rsid w:val="00636C61"/>
    <w:pPr>
      <w:keepLines/>
      <w:spacing w:before="240" w:after="120"/>
      <w:outlineLvl w:val="1"/>
    </w:pPr>
    <w:rPr>
      <w:sz w:val="28"/>
      <w:szCs w:val="40"/>
    </w:rPr>
  </w:style>
  <w:style w:type="paragraph" w:styleId="Heading3">
    <w:name w:val="heading 3"/>
    <w:basedOn w:val="HeadingBase"/>
    <w:next w:val="BodyText"/>
    <w:link w:val="Heading3Char"/>
    <w:qFormat/>
    <w:rsid w:val="00636C61"/>
    <w:pPr>
      <w:spacing w:before="180" w:after="120"/>
      <w:outlineLvl w:val="2"/>
    </w:pPr>
    <w:rPr>
      <w:spacing w:val="-10"/>
      <w:kern w:val="32"/>
    </w:rPr>
  </w:style>
  <w:style w:type="paragraph" w:styleId="Heading4">
    <w:name w:val="heading 4"/>
    <w:basedOn w:val="HeadingBase"/>
    <w:next w:val="BodyText"/>
    <w:link w:val="Heading4Char"/>
    <w:qFormat/>
    <w:rsid w:val="00636C61"/>
    <w:pPr>
      <w:spacing w:before="160" w:after="120"/>
      <w:outlineLvl w:val="3"/>
    </w:pPr>
    <w:rPr>
      <w:sz w:val="22"/>
    </w:rPr>
  </w:style>
  <w:style w:type="paragraph" w:styleId="Heading5">
    <w:name w:val="heading 5"/>
    <w:basedOn w:val="HeadingBase"/>
    <w:next w:val="Normal"/>
    <w:link w:val="Heading5Char"/>
    <w:qFormat/>
    <w:rsid w:val="00636C61"/>
    <w:pPr>
      <w:spacing w:before="80"/>
      <w:outlineLvl w:val="4"/>
    </w:pPr>
    <w:rPr>
      <w:color w:val="918585"/>
      <w:sz w:val="20"/>
    </w:rPr>
  </w:style>
  <w:style w:type="paragraph" w:styleId="Heading6">
    <w:name w:val="heading 6"/>
    <w:basedOn w:val="HeadingBase"/>
    <w:next w:val="Normal"/>
    <w:link w:val="Heading6Char"/>
    <w:qFormat/>
    <w:rsid w:val="00636C61"/>
    <w:pPr>
      <w:spacing w:before="60"/>
      <w:outlineLvl w:val="5"/>
    </w:pPr>
    <w:rPr>
      <w:color w:val="918585"/>
      <w:sz w:val="20"/>
    </w:rPr>
  </w:style>
  <w:style w:type="paragraph" w:styleId="Heading7">
    <w:name w:val="heading 7"/>
    <w:basedOn w:val="Normal"/>
    <w:next w:val="Normal"/>
    <w:link w:val="Heading7Char"/>
    <w:qFormat/>
    <w:rsid w:val="00636C61"/>
    <w:pPr>
      <w:ind w:left="720"/>
      <w:outlineLvl w:val="6"/>
    </w:pPr>
    <w:rPr>
      <w:i/>
    </w:rPr>
  </w:style>
  <w:style w:type="paragraph" w:styleId="Heading8">
    <w:name w:val="heading 8"/>
    <w:basedOn w:val="Normal"/>
    <w:next w:val="Normal"/>
    <w:link w:val="Heading8Char"/>
    <w:qFormat/>
    <w:rsid w:val="00636C61"/>
    <w:pPr>
      <w:ind w:left="720"/>
      <w:outlineLvl w:val="7"/>
    </w:pPr>
    <w:rPr>
      <w:i/>
    </w:rPr>
  </w:style>
  <w:style w:type="paragraph" w:styleId="Heading9">
    <w:name w:val="heading 9"/>
    <w:basedOn w:val="Normal"/>
    <w:next w:val="Normal"/>
    <w:link w:val="Heading9Char"/>
    <w:qFormat/>
    <w:rsid w:val="00636C61"/>
    <w:pPr>
      <w:ind w:left="720"/>
      <w:outlineLvl w:val="8"/>
    </w:pPr>
    <w:rPr>
      <w:i/>
    </w:rPr>
  </w:style>
  <w:style w:type="character" w:default="1" w:styleId="DefaultParagraphFont">
    <w:name w:val="Default Paragraph Font"/>
    <w:uiPriority w:val="1"/>
    <w:unhideWhenUsed/>
    <w:rsid w:val="00636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C61"/>
  </w:style>
  <w:style w:type="character" w:customStyle="1" w:styleId="Heading1Char">
    <w:name w:val="Heading 1 Char"/>
    <w:basedOn w:val="DefaultParagraphFont"/>
    <w:link w:val="Heading1"/>
    <w:rsid w:val="00636C6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36C6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636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C61"/>
    <w:rPr>
      <w:rFonts w:ascii="Times New Roman" w:eastAsia="Times New Roman" w:hAnsi="Times New Roman" w:cs="Times New Roman"/>
      <w:sz w:val="24"/>
      <w:lang w:eastAsia="en-US"/>
    </w:rPr>
  </w:style>
  <w:style w:type="paragraph" w:styleId="ListBullet">
    <w:name w:val="List Bullet"/>
    <w:basedOn w:val="List"/>
    <w:rsid w:val="00636C61"/>
    <w:pPr>
      <w:numPr>
        <w:numId w:val="12"/>
      </w:numPr>
      <w:tabs>
        <w:tab w:val="clear" w:pos="340"/>
      </w:tabs>
      <w:spacing w:before="40" w:after="40"/>
    </w:pPr>
  </w:style>
  <w:style w:type="paragraph" w:styleId="ListBullet2">
    <w:name w:val="List Bullet 2"/>
    <w:basedOn w:val="List2"/>
    <w:rsid w:val="00636C61"/>
    <w:pPr>
      <w:numPr>
        <w:numId w:val="13"/>
      </w:numPr>
      <w:tabs>
        <w:tab w:val="clear" w:pos="680"/>
      </w:tabs>
    </w:pPr>
  </w:style>
  <w:style w:type="paragraph" w:customStyle="1" w:styleId="SuperHeading">
    <w:name w:val="SuperHeading"/>
    <w:basedOn w:val="Normal"/>
    <w:rsid w:val="00636C61"/>
    <w:pPr>
      <w:spacing w:before="240" w:after="120"/>
      <w:outlineLvl w:val="0"/>
    </w:pPr>
    <w:rPr>
      <w:rFonts w:ascii="Times New Roman" w:hAnsi="Times New Roman"/>
      <w:b/>
      <w:sz w:val="32"/>
    </w:rPr>
  </w:style>
  <w:style w:type="paragraph" w:customStyle="1" w:styleId="TableHeading">
    <w:name w:val="Table Heading"/>
    <w:basedOn w:val="HeadingBase"/>
    <w:rsid w:val="00636C61"/>
    <w:pPr>
      <w:keepLines/>
      <w:pBdr>
        <w:bottom w:val="single" w:sz="6" w:space="1" w:color="918585"/>
      </w:pBdr>
      <w:spacing w:before="240"/>
    </w:pPr>
  </w:style>
  <w:style w:type="paragraph" w:customStyle="1" w:styleId="AllowPageBreak">
    <w:name w:val="AllowPageBreak"/>
    <w:rsid w:val="00636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C6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636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C61"/>
    <w:rPr>
      <w:rFonts w:ascii="Courier New" w:eastAsia="Times New Roman" w:hAnsi="Courier New" w:cs="Times New Roman"/>
      <w:i/>
      <w:szCs w:val="20"/>
      <w:lang w:eastAsia="en-US"/>
    </w:rPr>
  </w:style>
  <w:style w:type="paragraph" w:customStyle="1" w:styleId="HeadingBase">
    <w:name w:val="Heading Base"/>
    <w:rsid w:val="00636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C61"/>
    <w:pPr>
      <w:tabs>
        <w:tab w:val="right" w:leader="dot" w:pos="9072"/>
      </w:tabs>
      <w:ind w:left="567"/>
    </w:pPr>
    <w:rPr>
      <w:szCs w:val="22"/>
    </w:rPr>
  </w:style>
  <w:style w:type="paragraph" w:customStyle="1" w:styleId="TOCBase">
    <w:name w:val="TOC Base"/>
    <w:rsid w:val="00636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C61"/>
    <w:pPr>
      <w:tabs>
        <w:tab w:val="right" w:leader="dot" w:pos="9072"/>
      </w:tabs>
      <w:spacing w:before="40" w:after="40"/>
      <w:ind w:left="284"/>
    </w:pPr>
    <w:rPr>
      <w:rFonts w:ascii="Times New Roman" w:hAnsi="Times New Roman"/>
    </w:rPr>
  </w:style>
  <w:style w:type="paragraph" w:styleId="TOC1">
    <w:name w:val="toc 1"/>
    <w:basedOn w:val="TOCBase"/>
    <w:next w:val="Normal"/>
    <w:rsid w:val="00636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C61"/>
    <w:rPr>
      <w:rFonts w:ascii="Times New Roman" w:eastAsia="Times New Roman" w:hAnsi="Times New Roman" w:cs="Times New Roman"/>
      <w:sz w:val="16"/>
      <w:lang w:eastAsia="en-US"/>
    </w:rPr>
  </w:style>
  <w:style w:type="paragraph" w:styleId="Title">
    <w:name w:val="Title"/>
    <w:basedOn w:val="HeadingBase"/>
    <w:link w:val="TitleChar"/>
    <w:qFormat/>
    <w:rsid w:val="00636C61"/>
    <w:pPr>
      <w:spacing w:before="5040"/>
      <w:jc w:val="center"/>
    </w:pPr>
    <w:rPr>
      <w:sz w:val="48"/>
      <w:szCs w:val="72"/>
      <w:lang w:val="en-US"/>
    </w:rPr>
  </w:style>
  <w:style w:type="character" w:customStyle="1" w:styleId="TitleChar">
    <w:name w:val="Title Char"/>
    <w:basedOn w:val="DefaultParagraphFont"/>
    <w:link w:val="Title"/>
    <w:rsid w:val="00636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C61"/>
    <w:pPr>
      <w:tabs>
        <w:tab w:val="left" w:pos="3600"/>
        <w:tab w:val="left" w:pos="3958"/>
      </w:tabs>
    </w:pPr>
  </w:style>
  <w:style w:type="paragraph" w:styleId="List">
    <w:name w:val="List"/>
    <w:basedOn w:val="BodyText"/>
    <w:next w:val="BodyText"/>
    <w:rsid w:val="00636C61"/>
    <w:pPr>
      <w:tabs>
        <w:tab w:val="left" w:pos="340"/>
      </w:tabs>
      <w:spacing w:before="60" w:after="60"/>
      <w:ind w:left="340" w:hanging="340"/>
    </w:pPr>
  </w:style>
  <w:style w:type="paragraph" w:customStyle="1" w:styleId="Note">
    <w:name w:val="Note"/>
    <w:basedOn w:val="BodyText"/>
    <w:rsid w:val="00636C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6C61"/>
    <w:rPr>
      <w:b/>
      <w:spacing w:val="0"/>
    </w:rPr>
  </w:style>
  <w:style w:type="paragraph" w:customStyle="1" w:styleId="SuperTitle">
    <w:name w:val="SuperTitle"/>
    <w:basedOn w:val="Title"/>
    <w:rsid w:val="00636C61"/>
    <w:pPr>
      <w:framePr w:wrap="auto" w:hAnchor="text" w:y="6049"/>
    </w:pPr>
    <w:rPr>
      <w:color w:val="000000"/>
      <w:sz w:val="40"/>
    </w:rPr>
  </w:style>
  <w:style w:type="paragraph" w:customStyle="1" w:styleId="TOCTitle">
    <w:name w:val="TOCTitle"/>
    <w:basedOn w:val="Heading1"/>
    <w:rsid w:val="00636C61"/>
    <w:pPr>
      <w:spacing w:after="240"/>
      <w:jc w:val="center"/>
      <w:outlineLvl w:val="9"/>
    </w:pPr>
    <w:rPr>
      <w:caps/>
    </w:rPr>
  </w:style>
  <w:style w:type="paragraph" w:customStyle="1" w:styleId="Version">
    <w:name w:val="Version"/>
    <w:rsid w:val="00636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C61"/>
    <w:pPr>
      <w:keepNext w:val="0"/>
      <w:tabs>
        <w:tab w:val="right" w:pos="4176"/>
      </w:tabs>
      <w:ind w:left="198" w:hanging="198"/>
    </w:pPr>
    <w:rPr>
      <w:rFonts w:ascii="Garamond" w:hAnsi="Garamond"/>
    </w:rPr>
  </w:style>
  <w:style w:type="paragraph" w:styleId="IndexHeading">
    <w:name w:val="index heading"/>
    <w:basedOn w:val="Normal"/>
    <w:next w:val="Index1"/>
    <w:semiHidden/>
    <w:rsid w:val="00636C61"/>
    <w:pPr>
      <w:spacing w:before="120" w:after="120"/>
    </w:pPr>
    <w:rPr>
      <w:rFonts w:ascii="Arial" w:hAnsi="Arial"/>
      <w:b/>
      <w:color w:val="918585"/>
      <w:sz w:val="24"/>
    </w:rPr>
  </w:style>
  <w:style w:type="paragraph" w:styleId="Header">
    <w:name w:val="header"/>
    <w:basedOn w:val="Normal"/>
    <w:link w:val="HeaderChar"/>
    <w:rsid w:val="00636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C61"/>
    <w:rPr>
      <w:rFonts w:ascii="Times New Roman" w:eastAsia="Times New Roman" w:hAnsi="Times New Roman" w:cs="Times New Roman"/>
      <w:sz w:val="16"/>
      <w:szCs w:val="20"/>
      <w:lang w:val="en-GB" w:eastAsia="en-US"/>
    </w:rPr>
  </w:style>
  <w:style w:type="paragraph" w:customStyle="1" w:styleId="Chapter">
    <w:name w:val="Chapter"/>
    <w:basedOn w:val="Normal"/>
    <w:rsid w:val="00636C61"/>
    <w:pPr>
      <w:spacing w:before="240"/>
    </w:pPr>
    <w:rPr>
      <w:rFonts w:ascii="Times New Roman" w:hAnsi="Times New Roman"/>
      <w:smallCaps/>
      <w:spacing w:val="80"/>
      <w:sz w:val="28"/>
    </w:rPr>
  </w:style>
  <w:style w:type="paragraph" w:customStyle="1" w:styleId="InChapter">
    <w:name w:val="InChapter"/>
    <w:basedOn w:val="Heading3"/>
    <w:rsid w:val="00636C61"/>
    <w:pPr>
      <w:spacing w:after="240"/>
      <w:outlineLvl w:val="9"/>
    </w:pPr>
    <w:rPr>
      <w:noProof/>
    </w:rPr>
  </w:style>
  <w:style w:type="paragraph" w:styleId="Index2">
    <w:name w:val="index 2"/>
    <w:basedOn w:val="Normal"/>
    <w:next w:val="Normal"/>
    <w:semiHidden/>
    <w:rsid w:val="00636C61"/>
    <w:pPr>
      <w:tabs>
        <w:tab w:val="right" w:pos="4176"/>
      </w:tabs>
      <w:ind w:left="568" w:hanging="284"/>
    </w:pPr>
    <w:rPr>
      <w:rFonts w:ascii="Garamond" w:hAnsi="Garamond"/>
    </w:rPr>
  </w:style>
  <w:style w:type="paragraph" w:customStyle="1" w:styleId="Byline">
    <w:name w:val="Byline"/>
    <w:rsid w:val="00636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C61"/>
    <w:pPr>
      <w:tabs>
        <w:tab w:val="clear" w:pos="3600"/>
        <w:tab w:val="clear" w:pos="3958"/>
      </w:tabs>
      <w:jc w:val="right"/>
    </w:pPr>
  </w:style>
  <w:style w:type="character" w:styleId="Emphasis">
    <w:name w:val="Emphasis"/>
    <w:basedOn w:val="DefaultParagraphFont"/>
    <w:qFormat/>
    <w:rsid w:val="00636C61"/>
    <w:rPr>
      <w:i/>
    </w:rPr>
  </w:style>
  <w:style w:type="paragraph" w:styleId="Caption">
    <w:name w:val="caption"/>
    <w:basedOn w:val="BodyText"/>
    <w:next w:val="Normal"/>
    <w:qFormat/>
    <w:rsid w:val="00636C61"/>
    <w:pPr>
      <w:framePr w:w="2268" w:hSpace="181" w:vSpace="181" w:wrap="around" w:vAnchor="text" w:hAnchor="page" w:x="1135" w:y="285" w:anchorLock="1"/>
    </w:pPr>
    <w:rPr>
      <w:i/>
    </w:rPr>
  </w:style>
  <w:style w:type="paragraph" w:customStyle="1" w:styleId="MiniTOCTitle">
    <w:name w:val="MiniTOCTitle"/>
    <w:basedOn w:val="Heading4"/>
    <w:rsid w:val="00636C61"/>
    <w:pPr>
      <w:spacing w:before="240"/>
      <w:outlineLvl w:val="9"/>
    </w:pPr>
    <w:rPr>
      <w:noProof/>
      <w:sz w:val="24"/>
    </w:rPr>
  </w:style>
  <w:style w:type="paragraph" w:customStyle="1" w:styleId="MiniTOCItem">
    <w:name w:val="MiniTOCItem"/>
    <w:basedOn w:val="ListBullet"/>
    <w:rsid w:val="00636C61"/>
    <w:pPr>
      <w:numPr>
        <w:numId w:val="0"/>
      </w:numPr>
      <w:tabs>
        <w:tab w:val="right" w:leader="dot" w:pos="6521"/>
      </w:tabs>
      <w:spacing w:before="0" w:after="0"/>
    </w:pPr>
  </w:style>
  <w:style w:type="paragraph" w:customStyle="1" w:styleId="TOFTitle">
    <w:name w:val="TOFTitle"/>
    <w:basedOn w:val="TOCTitle"/>
    <w:rsid w:val="00636C61"/>
  </w:style>
  <w:style w:type="paragraph" w:styleId="TableofFigures">
    <w:name w:val="table of figures"/>
    <w:basedOn w:val="Normal"/>
    <w:next w:val="Normal"/>
    <w:semiHidden/>
    <w:rsid w:val="00636C61"/>
    <w:pPr>
      <w:tabs>
        <w:tab w:val="right" w:leader="dot" w:pos="9072"/>
      </w:tabs>
      <w:ind w:left="970" w:hanging="403"/>
    </w:pPr>
    <w:rPr>
      <w:rFonts w:ascii="Times New Roman" w:hAnsi="Times New Roman"/>
      <w:b/>
    </w:rPr>
  </w:style>
  <w:style w:type="paragraph" w:styleId="ListNumber">
    <w:name w:val="List Number"/>
    <w:basedOn w:val="List"/>
    <w:rsid w:val="00636C61"/>
    <w:pPr>
      <w:numPr>
        <w:numId w:val="15"/>
      </w:numPr>
      <w:tabs>
        <w:tab w:val="clear" w:pos="340"/>
      </w:tabs>
    </w:pPr>
  </w:style>
  <w:style w:type="character" w:customStyle="1" w:styleId="WingdingSymbols">
    <w:name w:val="Wingding Symbols"/>
    <w:rsid w:val="00636C61"/>
    <w:rPr>
      <w:rFonts w:ascii="Wingdings" w:hAnsi="Wingdings"/>
    </w:rPr>
  </w:style>
  <w:style w:type="character" w:customStyle="1" w:styleId="HotSpot">
    <w:name w:val="HotSpot"/>
    <w:rsid w:val="00636C61"/>
    <w:rPr>
      <w:color w:val="0033CC"/>
      <w:u w:val="none"/>
    </w:rPr>
  </w:style>
  <w:style w:type="paragraph" w:customStyle="1" w:styleId="BodyTextRight">
    <w:name w:val="Body Text Right"/>
    <w:basedOn w:val="BodyText"/>
    <w:rsid w:val="00636C61"/>
    <w:pPr>
      <w:spacing w:before="0" w:after="0"/>
      <w:jc w:val="right"/>
    </w:pPr>
  </w:style>
  <w:style w:type="paragraph" w:styleId="Index3">
    <w:name w:val="index 3"/>
    <w:basedOn w:val="ListNumber2"/>
    <w:next w:val="Normal"/>
    <w:semiHidden/>
    <w:rsid w:val="00636C61"/>
    <w:pPr>
      <w:numPr>
        <w:numId w:val="0"/>
      </w:numPr>
      <w:tabs>
        <w:tab w:val="right" w:leader="dot" w:pos="4176"/>
      </w:tabs>
    </w:pPr>
  </w:style>
  <w:style w:type="paragraph" w:styleId="ListNumber2">
    <w:name w:val="List Number 2"/>
    <w:basedOn w:val="List2"/>
    <w:rsid w:val="00636C61"/>
    <w:pPr>
      <w:numPr>
        <w:numId w:val="10"/>
      </w:numPr>
      <w:tabs>
        <w:tab w:val="clear" w:pos="1060"/>
      </w:tabs>
    </w:pPr>
  </w:style>
  <w:style w:type="paragraph" w:customStyle="1" w:styleId="MarginNote">
    <w:name w:val="Margin Note"/>
    <w:basedOn w:val="BodyText"/>
    <w:rsid w:val="00636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C61"/>
    <w:rPr>
      <w:sz w:val="32"/>
    </w:rPr>
  </w:style>
  <w:style w:type="paragraph" w:customStyle="1" w:styleId="HeadingProcedure">
    <w:name w:val="Heading Procedure"/>
    <w:basedOn w:val="HeadingBase"/>
    <w:next w:val="Normal"/>
    <w:rsid w:val="00636C61"/>
    <w:pPr>
      <w:tabs>
        <w:tab w:val="left" w:pos="0"/>
      </w:tabs>
      <w:spacing w:before="120" w:after="60"/>
    </w:pPr>
    <w:rPr>
      <w:i/>
      <w:color w:val="918585"/>
      <w:sz w:val="22"/>
    </w:rPr>
  </w:style>
  <w:style w:type="paragraph" w:customStyle="1" w:styleId="TableBodyText">
    <w:name w:val="Table Body Text"/>
    <w:basedOn w:val="BodyText"/>
    <w:rsid w:val="00636C61"/>
    <w:pPr>
      <w:spacing w:before="60" w:after="60"/>
    </w:pPr>
  </w:style>
  <w:style w:type="paragraph" w:styleId="ListContinue">
    <w:name w:val="List Continue"/>
    <w:basedOn w:val="List"/>
    <w:rsid w:val="00636C61"/>
    <w:pPr>
      <w:ind w:firstLine="0"/>
    </w:pPr>
  </w:style>
  <w:style w:type="paragraph" w:customStyle="1" w:styleId="ListNote">
    <w:name w:val="List Note"/>
    <w:basedOn w:val="List"/>
    <w:rsid w:val="00636C61"/>
    <w:pPr>
      <w:pBdr>
        <w:top w:val="single" w:sz="6" w:space="2" w:color="918585"/>
        <w:bottom w:val="single" w:sz="6" w:space="2" w:color="918585"/>
      </w:pBdr>
      <w:tabs>
        <w:tab w:val="left" w:pos="1021"/>
      </w:tabs>
      <w:ind w:firstLine="0"/>
    </w:pPr>
  </w:style>
  <w:style w:type="paragraph" w:customStyle="1" w:styleId="Warning">
    <w:name w:val="Warning"/>
    <w:basedOn w:val="BodyText"/>
    <w:rsid w:val="00636C61"/>
    <w:pPr>
      <w:shd w:val="clear" w:color="auto" w:fill="D9D9D9"/>
      <w:tabs>
        <w:tab w:val="left" w:pos="992"/>
      </w:tabs>
      <w:ind w:left="119" w:right="119"/>
    </w:pPr>
    <w:rPr>
      <w:sz w:val="20"/>
    </w:rPr>
  </w:style>
  <w:style w:type="paragraph" w:customStyle="1" w:styleId="MarginIcons">
    <w:name w:val="Margin Icons"/>
    <w:basedOn w:val="BodyText"/>
    <w:rsid w:val="00636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C61"/>
    <w:rPr>
      <w:rFonts w:ascii="Courier New" w:hAnsi="Courier New"/>
    </w:rPr>
  </w:style>
  <w:style w:type="paragraph" w:customStyle="1" w:styleId="NoteBullet">
    <w:name w:val="Note Bullet"/>
    <w:basedOn w:val="Note"/>
    <w:rsid w:val="00636C61"/>
    <w:pPr>
      <w:tabs>
        <w:tab w:val="clear" w:pos="680"/>
      </w:tabs>
      <w:spacing w:before="60" w:after="60"/>
    </w:pPr>
  </w:style>
  <w:style w:type="paragraph" w:customStyle="1" w:styleId="SubHeading2">
    <w:name w:val="SubHeading2"/>
    <w:basedOn w:val="HeadingBase"/>
    <w:rsid w:val="00636C61"/>
    <w:pPr>
      <w:spacing w:before="240" w:after="60"/>
    </w:pPr>
    <w:rPr>
      <w:sz w:val="20"/>
    </w:rPr>
  </w:style>
  <w:style w:type="paragraph" w:customStyle="1" w:styleId="SubHeading1">
    <w:name w:val="SubHeading1"/>
    <w:basedOn w:val="HeadingBase"/>
    <w:rsid w:val="00636C61"/>
    <w:pPr>
      <w:spacing w:before="240" w:after="60"/>
    </w:pPr>
    <w:rPr>
      <w:color w:val="918585"/>
      <w:sz w:val="22"/>
    </w:rPr>
  </w:style>
  <w:style w:type="paragraph" w:customStyle="1" w:styleId="SideHeading">
    <w:name w:val="Side Heading"/>
    <w:basedOn w:val="HeadingBase"/>
    <w:rsid w:val="00636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C61"/>
    <w:pPr>
      <w:tabs>
        <w:tab w:val="num" w:pos="360"/>
      </w:tabs>
    </w:pPr>
  </w:style>
  <w:style w:type="paragraph" w:styleId="PlainText">
    <w:name w:val="Plain Text"/>
    <w:basedOn w:val="Normal"/>
    <w:link w:val="PlainTextChar"/>
    <w:rsid w:val="00636C61"/>
    <w:rPr>
      <w:sz w:val="20"/>
    </w:rPr>
  </w:style>
  <w:style w:type="character" w:customStyle="1" w:styleId="PlainTextChar">
    <w:name w:val="Plain Text Char"/>
    <w:basedOn w:val="DefaultParagraphFont"/>
    <w:link w:val="PlainText"/>
    <w:rsid w:val="00636C61"/>
    <w:rPr>
      <w:rFonts w:ascii="Courier New" w:eastAsia="Times New Roman" w:hAnsi="Courier New" w:cs="Times New Roman"/>
      <w:sz w:val="20"/>
      <w:szCs w:val="20"/>
      <w:lang w:eastAsia="en-US"/>
    </w:rPr>
  </w:style>
  <w:style w:type="character" w:customStyle="1" w:styleId="MenuOption">
    <w:name w:val="Menu Option"/>
    <w:basedOn w:val="DefaultParagraphFont"/>
    <w:rsid w:val="00636C61"/>
    <w:rPr>
      <w:b/>
      <w:smallCaps/>
    </w:rPr>
  </w:style>
  <w:style w:type="paragraph" w:customStyle="1" w:styleId="TableListNumber">
    <w:name w:val="Table List Number"/>
    <w:basedOn w:val="ListNumber"/>
    <w:rsid w:val="00636C61"/>
    <w:pPr>
      <w:numPr>
        <w:numId w:val="0"/>
      </w:numPr>
    </w:pPr>
  </w:style>
  <w:style w:type="paragraph" w:styleId="TOC4">
    <w:name w:val="toc 4"/>
    <w:basedOn w:val="TOCBase"/>
    <w:next w:val="Normal"/>
    <w:semiHidden/>
    <w:rsid w:val="00636C61"/>
    <w:pPr>
      <w:tabs>
        <w:tab w:val="right" w:leader="dot" w:pos="9071"/>
      </w:tabs>
      <w:ind w:left="1701"/>
    </w:pPr>
  </w:style>
  <w:style w:type="paragraph" w:customStyle="1" w:styleId="ListAlpha">
    <w:name w:val="List Alpha"/>
    <w:basedOn w:val="List"/>
    <w:rsid w:val="00636C61"/>
    <w:pPr>
      <w:numPr>
        <w:numId w:val="9"/>
      </w:numPr>
    </w:pPr>
  </w:style>
  <w:style w:type="paragraph" w:customStyle="1" w:styleId="ListAlpha2">
    <w:name w:val="List Alpha 2"/>
    <w:basedOn w:val="List2"/>
    <w:rsid w:val="00636C61"/>
    <w:pPr>
      <w:numPr>
        <w:numId w:val="8"/>
      </w:numPr>
    </w:pPr>
  </w:style>
  <w:style w:type="paragraph" w:styleId="List2">
    <w:name w:val="List 2"/>
    <w:basedOn w:val="BodyText"/>
    <w:rsid w:val="00636C61"/>
    <w:pPr>
      <w:tabs>
        <w:tab w:val="left" w:pos="680"/>
      </w:tabs>
      <w:spacing w:before="60" w:after="60"/>
      <w:ind w:left="680" w:hanging="340"/>
    </w:pPr>
  </w:style>
  <w:style w:type="paragraph" w:styleId="List3">
    <w:name w:val="List 3"/>
    <w:basedOn w:val="BodyText"/>
    <w:rsid w:val="00636C61"/>
    <w:pPr>
      <w:tabs>
        <w:tab w:val="left" w:pos="1021"/>
      </w:tabs>
      <w:spacing w:before="60" w:after="60"/>
      <w:ind w:left="1020" w:hanging="340"/>
    </w:pPr>
  </w:style>
  <w:style w:type="paragraph" w:styleId="List4">
    <w:name w:val="List 4"/>
    <w:basedOn w:val="BodyText"/>
    <w:rsid w:val="00636C61"/>
    <w:pPr>
      <w:tabs>
        <w:tab w:val="left" w:pos="1361"/>
      </w:tabs>
      <w:spacing w:before="60" w:after="60"/>
      <w:ind w:left="1361" w:hanging="340"/>
    </w:pPr>
  </w:style>
  <w:style w:type="paragraph" w:styleId="List5">
    <w:name w:val="List 5"/>
    <w:basedOn w:val="BodyText"/>
    <w:rsid w:val="00636C61"/>
    <w:pPr>
      <w:tabs>
        <w:tab w:val="left" w:pos="1701"/>
      </w:tabs>
      <w:spacing w:before="60" w:after="60"/>
      <w:ind w:left="1701" w:hanging="340"/>
    </w:pPr>
  </w:style>
  <w:style w:type="paragraph" w:styleId="ListBullet3">
    <w:name w:val="List Bullet 3"/>
    <w:basedOn w:val="List3"/>
    <w:rsid w:val="00636C61"/>
    <w:pPr>
      <w:numPr>
        <w:numId w:val="14"/>
      </w:numPr>
      <w:tabs>
        <w:tab w:val="clear" w:pos="1021"/>
      </w:tabs>
      <w:ind w:left="1037" w:hanging="357"/>
    </w:pPr>
  </w:style>
  <w:style w:type="paragraph" w:styleId="ListBullet4">
    <w:name w:val="List Bullet 4"/>
    <w:basedOn w:val="List4"/>
    <w:rsid w:val="00636C61"/>
    <w:pPr>
      <w:numPr>
        <w:numId w:val="3"/>
      </w:numPr>
      <w:tabs>
        <w:tab w:val="clear" w:pos="1361"/>
      </w:tabs>
    </w:pPr>
  </w:style>
  <w:style w:type="paragraph" w:styleId="ListBullet5">
    <w:name w:val="List Bullet 5"/>
    <w:basedOn w:val="List5"/>
    <w:rsid w:val="00636C61"/>
    <w:pPr>
      <w:numPr>
        <w:numId w:val="4"/>
      </w:numPr>
    </w:pPr>
  </w:style>
  <w:style w:type="paragraph" w:styleId="ListContinue2">
    <w:name w:val="List Continue 2"/>
    <w:basedOn w:val="List2"/>
    <w:rsid w:val="00636C61"/>
    <w:pPr>
      <w:ind w:firstLine="0"/>
    </w:pPr>
  </w:style>
  <w:style w:type="paragraph" w:styleId="ListContinue3">
    <w:name w:val="List Continue 3"/>
    <w:basedOn w:val="List3"/>
    <w:rsid w:val="00636C61"/>
    <w:pPr>
      <w:ind w:left="1021" w:firstLine="0"/>
    </w:pPr>
  </w:style>
  <w:style w:type="paragraph" w:styleId="ListContinue4">
    <w:name w:val="List Continue 4"/>
    <w:basedOn w:val="List4"/>
    <w:rsid w:val="00636C61"/>
    <w:pPr>
      <w:ind w:firstLine="0"/>
    </w:pPr>
  </w:style>
  <w:style w:type="paragraph" w:styleId="ListContinue5">
    <w:name w:val="List Continue 5"/>
    <w:basedOn w:val="List5"/>
    <w:rsid w:val="00636C61"/>
    <w:pPr>
      <w:ind w:firstLine="0"/>
    </w:pPr>
  </w:style>
  <w:style w:type="paragraph" w:styleId="ListNumber3">
    <w:name w:val="List Number 3"/>
    <w:basedOn w:val="List3"/>
    <w:rsid w:val="00636C61"/>
    <w:pPr>
      <w:numPr>
        <w:numId w:val="5"/>
      </w:numPr>
    </w:pPr>
  </w:style>
  <w:style w:type="paragraph" w:styleId="ListNumber4">
    <w:name w:val="List Number 4"/>
    <w:basedOn w:val="List4"/>
    <w:rsid w:val="00636C61"/>
    <w:pPr>
      <w:numPr>
        <w:numId w:val="6"/>
      </w:numPr>
    </w:pPr>
  </w:style>
  <w:style w:type="paragraph" w:styleId="ListNumber5">
    <w:name w:val="List Number 5"/>
    <w:basedOn w:val="List5"/>
    <w:rsid w:val="00636C61"/>
    <w:pPr>
      <w:numPr>
        <w:numId w:val="7"/>
      </w:numPr>
    </w:pPr>
  </w:style>
  <w:style w:type="paragraph" w:styleId="BlockText">
    <w:name w:val="Block Text"/>
    <w:basedOn w:val="Normal"/>
    <w:rsid w:val="00636C61"/>
    <w:pPr>
      <w:spacing w:after="120"/>
      <w:ind w:left="1440" w:right="1440"/>
    </w:pPr>
  </w:style>
  <w:style w:type="character" w:customStyle="1" w:styleId="Subscript">
    <w:name w:val="Subscript"/>
    <w:basedOn w:val="DefaultParagraphFont"/>
    <w:rsid w:val="00636C61"/>
    <w:rPr>
      <w:sz w:val="16"/>
      <w:vertAlign w:val="subscript"/>
    </w:rPr>
  </w:style>
  <w:style w:type="character" w:customStyle="1" w:styleId="Superscript">
    <w:name w:val="Superscript"/>
    <w:basedOn w:val="DefaultParagraphFont"/>
    <w:rsid w:val="00636C61"/>
    <w:rPr>
      <w:sz w:val="16"/>
      <w:vertAlign w:val="superscript"/>
    </w:rPr>
  </w:style>
  <w:style w:type="character" w:customStyle="1" w:styleId="Symbols">
    <w:name w:val="Symbols"/>
    <w:basedOn w:val="DefaultParagraphFont"/>
    <w:rsid w:val="00636C61"/>
    <w:rPr>
      <w:rFonts w:ascii="Symbol" w:hAnsi="Symbol"/>
    </w:rPr>
  </w:style>
  <w:style w:type="character" w:customStyle="1" w:styleId="MenuOptions">
    <w:name w:val="Menu Options"/>
    <w:basedOn w:val="DefaultParagraphFont"/>
    <w:rsid w:val="00636C61"/>
    <w:rPr>
      <w:rFonts w:ascii="Arial Narrow" w:hAnsi="Arial Narrow"/>
      <w:smallCaps/>
    </w:rPr>
  </w:style>
  <w:style w:type="character" w:customStyle="1" w:styleId="Buttons">
    <w:name w:val="Buttons"/>
    <w:basedOn w:val="DefaultParagraphFont"/>
    <w:rsid w:val="00636C61"/>
    <w:rPr>
      <w:b/>
    </w:rPr>
  </w:style>
  <w:style w:type="character" w:customStyle="1" w:styleId="Underlined">
    <w:name w:val="Underlined"/>
    <w:basedOn w:val="DefaultParagraphFont"/>
    <w:rsid w:val="00636C61"/>
    <w:rPr>
      <w:u w:val="single"/>
    </w:rPr>
  </w:style>
  <w:style w:type="paragraph" w:customStyle="1" w:styleId="TableBodyTextRight">
    <w:name w:val="Table Body Text Right"/>
    <w:basedOn w:val="TableBodyText"/>
    <w:rsid w:val="00636C61"/>
    <w:pPr>
      <w:widowControl w:val="0"/>
      <w:autoSpaceDE w:val="0"/>
      <w:autoSpaceDN w:val="0"/>
      <w:adjustRightInd w:val="0"/>
      <w:jc w:val="right"/>
    </w:pPr>
    <w:rPr>
      <w:rFonts w:cs="Arial"/>
      <w:szCs w:val="18"/>
    </w:rPr>
  </w:style>
  <w:style w:type="paragraph" w:customStyle="1" w:styleId="CopyrightText">
    <w:name w:val="Copyright Text"/>
    <w:basedOn w:val="BodyText"/>
    <w:rsid w:val="00636C61"/>
    <w:rPr>
      <w:sz w:val="18"/>
    </w:rPr>
  </w:style>
  <w:style w:type="paragraph" w:customStyle="1" w:styleId="BodySmallRight">
    <w:name w:val="Body Small Right"/>
    <w:basedOn w:val="BodyTextRight"/>
    <w:rsid w:val="00636C61"/>
    <w:rPr>
      <w:sz w:val="18"/>
      <w:szCs w:val="18"/>
    </w:rPr>
  </w:style>
  <w:style w:type="paragraph" w:customStyle="1" w:styleId="MarginEdition">
    <w:name w:val="Margin Edition"/>
    <w:basedOn w:val="MarginNote"/>
    <w:rsid w:val="00636C61"/>
    <w:pPr>
      <w:spacing w:before="0" w:after="0"/>
    </w:pPr>
    <w:rPr>
      <w:rFonts w:ascii="Times New Roman" w:hAnsi="Times New Roman"/>
      <w:color w:val="999999"/>
    </w:rPr>
  </w:style>
  <w:style w:type="paragraph" w:customStyle="1" w:styleId="Spacer">
    <w:name w:val="Spacer"/>
    <w:basedOn w:val="Normal"/>
    <w:rsid w:val="00636C61"/>
    <w:rPr>
      <w:sz w:val="2"/>
      <w:szCs w:val="2"/>
    </w:rPr>
  </w:style>
  <w:style w:type="character" w:customStyle="1" w:styleId="Small">
    <w:name w:val="Small"/>
    <w:basedOn w:val="DefaultParagraphFont"/>
    <w:rsid w:val="00636C61"/>
    <w:rPr>
      <w:sz w:val="16"/>
    </w:rPr>
  </w:style>
  <w:style w:type="paragraph" w:customStyle="1" w:styleId="WideTable">
    <w:name w:val="Wide Table"/>
    <w:basedOn w:val="Normal"/>
    <w:rsid w:val="00636C61"/>
    <w:pPr>
      <w:ind w:left="-1418"/>
    </w:pPr>
    <w:rPr>
      <w:sz w:val="2"/>
      <w:szCs w:val="2"/>
    </w:rPr>
  </w:style>
  <w:style w:type="character" w:styleId="PageNumber">
    <w:name w:val="page number"/>
    <w:basedOn w:val="DefaultParagraphFont"/>
    <w:rsid w:val="00636C61"/>
  </w:style>
  <w:style w:type="paragraph" w:styleId="Quote">
    <w:name w:val="Quote"/>
    <w:basedOn w:val="Heading1"/>
    <w:link w:val="QuoteChar"/>
    <w:qFormat/>
    <w:rsid w:val="00636C61"/>
    <w:rPr>
      <w:b w:val="0"/>
      <w:sz w:val="72"/>
      <w:szCs w:val="72"/>
      <w:lang w:val="en-NZ"/>
    </w:rPr>
  </w:style>
  <w:style w:type="character" w:customStyle="1" w:styleId="QuoteChar">
    <w:name w:val="Quote Char"/>
    <w:basedOn w:val="DefaultParagraphFont"/>
    <w:link w:val="Quote"/>
    <w:rsid w:val="00636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C61"/>
    <w:pPr>
      <w:pageBreakBefore/>
    </w:pPr>
  </w:style>
  <w:style w:type="paragraph" w:customStyle="1" w:styleId="Border">
    <w:name w:val="Border"/>
    <w:basedOn w:val="Normal"/>
    <w:qFormat/>
    <w:rsid w:val="00636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C61"/>
    <w:rPr>
      <w:b/>
      <w:bCs/>
      <w:i/>
      <w:iCs/>
      <w:color w:val="auto"/>
    </w:rPr>
  </w:style>
  <w:style w:type="paragraph" w:styleId="IntenseQuote">
    <w:name w:val="Intense Quote"/>
    <w:basedOn w:val="Normal"/>
    <w:next w:val="Normal"/>
    <w:link w:val="IntenseQuoteChar"/>
    <w:uiPriority w:val="30"/>
    <w:qFormat/>
    <w:rsid w:val="00636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C61"/>
    <w:rPr>
      <w:smallCaps/>
      <w:color w:val="auto"/>
      <w:u w:val="single"/>
    </w:rPr>
  </w:style>
  <w:style w:type="character" w:styleId="IntenseReference">
    <w:name w:val="Intense Reference"/>
    <w:basedOn w:val="DefaultParagraphFont"/>
    <w:uiPriority w:val="32"/>
    <w:qFormat/>
    <w:rsid w:val="00636C61"/>
    <w:rPr>
      <w:b/>
      <w:bCs/>
      <w:smallCaps/>
      <w:color w:val="auto"/>
      <w:spacing w:val="5"/>
      <w:u w:val="single"/>
    </w:rPr>
  </w:style>
  <w:style w:type="paragraph" w:customStyle="1" w:styleId="2ColumnHeading">
    <w:name w:val="2Column Heading"/>
    <w:basedOn w:val="BodyText"/>
    <w:qFormat/>
    <w:rsid w:val="00636C61"/>
    <w:pPr>
      <w:spacing w:after="60"/>
      <w:ind w:left="-2268"/>
    </w:pPr>
    <w:rPr>
      <w:b/>
    </w:rPr>
  </w:style>
  <w:style w:type="paragraph" w:customStyle="1" w:styleId="Heading1TOC">
    <w:name w:val="Heading1 TOC"/>
    <w:basedOn w:val="Normal"/>
    <w:qFormat/>
    <w:rsid w:val="00636C61"/>
    <w:pPr>
      <w:spacing w:before="240" w:after="120"/>
    </w:pPr>
    <w:rPr>
      <w:rFonts w:ascii="Times New Roman" w:hAnsi="Times New Roman"/>
      <w:b/>
      <w:sz w:val="32"/>
    </w:rPr>
  </w:style>
  <w:style w:type="paragraph" w:customStyle="1" w:styleId="Heading2TOC">
    <w:name w:val="Heading2 TOC"/>
    <w:basedOn w:val="Normal"/>
    <w:qFormat/>
    <w:rsid w:val="00636C61"/>
    <w:pPr>
      <w:spacing w:before="240" w:after="60"/>
    </w:pPr>
    <w:rPr>
      <w:rFonts w:ascii="Times New Roman" w:hAnsi="Times New Roman"/>
      <w:b/>
      <w:sz w:val="28"/>
    </w:rPr>
  </w:style>
  <w:style w:type="character" w:customStyle="1" w:styleId="Underline">
    <w:name w:val="Underline"/>
    <w:basedOn w:val="DefaultParagraphFont"/>
    <w:qFormat/>
    <w:rsid w:val="00636C61"/>
    <w:rPr>
      <w:u w:val="single"/>
    </w:rPr>
  </w:style>
  <w:style w:type="character" w:customStyle="1" w:styleId="BoldandItalics">
    <w:name w:val="Bold and Italics"/>
    <w:qFormat/>
    <w:rsid w:val="00636C61"/>
    <w:rPr>
      <w:b/>
      <w:i/>
      <w:u w:val="none"/>
    </w:rPr>
  </w:style>
  <w:style w:type="paragraph" w:styleId="BalloonText">
    <w:name w:val="Balloon Text"/>
    <w:basedOn w:val="Normal"/>
    <w:link w:val="BalloonTextChar"/>
    <w:rsid w:val="00636C61"/>
    <w:rPr>
      <w:rFonts w:ascii="Tahoma" w:hAnsi="Tahoma" w:cs="Tahoma"/>
      <w:sz w:val="16"/>
      <w:szCs w:val="16"/>
    </w:rPr>
  </w:style>
  <w:style w:type="character" w:customStyle="1" w:styleId="BalloonTextChar">
    <w:name w:val="Balloon Text Char"/>
    <w:basedOn w:val="DefaultParagraphFont"/>
    <w:link w:val="BalloonText"/>
    <w:rsid w:val="00636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C61"/>
    <w:rPr>
      <w:b/>
      <w:color w:val="660033"/>
      <w:spacing w:val="0"/>
    </w:rPr>
  </w:style>
  <w:style w:type="paragraph" w:customStyle="1" w:styleId="Nameditemlist">
    <w:name w:val="Named item list"/>
    <w:basedOn w:val="BodyText"/>
    <w:qFormat/>
    <w:rsid w:val="00636C61"/>
    <w:pPr>
      <w:tabs>
        <w:tab w:val="left" w:pos="2835"/>
      </w:tabs>
      <w:ind w:left="2835" w:hanging="2835"/>
    </w:pPr>
  </w:style>
  <w:style w:type="paragraph" w:customStyle="1" w:styleId="BodyTextnopadding">
    <w:name w:val="Body Text no padding"/>
    <w:basedOn w:val="BodyText"/>
    <w:qFormat/>
    <w:rsid w:val="00636C61"/>
    <w:pPr>
      <w:spacing w:before="0" w:after="0"/>
    </w:pPr>
  </w:style>
  <w:style w:type="paragraph" w:customStyle="1" w:styleId="BodyTextBold">
    <w:name w:val="Body Text Bold"/>
    <w:basedOn w:val="BodyText"/>
    <w:qFormat/>
    <w:rsid w:val="00636C61"/>
    <w:rPr>
      <w:b/>
    </w:rPr>
  </w:style>
  <w:style w:type="character" w:styleId="Hyperlink">
    <w:name w:val="Hyperlink"/>
    <w:basedOn w:val="DefaultParagraphFont"/>
    <w:uiPriority w:val="99"/>
    <w:unhideWhenUsed/>
    <w:rsid w:val="00895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6780</Characters>
  <Application>Microsoft Office Word</Application>
  <DocSecurity>0</DocSecurity>
  <Lines>173</Lines>
  <Paragraphs>110</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RIIWHS208 Operate within an autonomous workplace functional safety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