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CB8" w:rsidP="00590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RIIWHS202D Enter and work in confined spaces</w:t>
      </w:r>
      <w:r>
        <w:fldChar w:fldCharType="end"/>
      </w:r>
    </w:p>
    <w:p w:rsidR="00590CB8" w:rsidP="00590CB8">
      <w:pPr>
        <w:pStyle w:val="Version"/>
        <w:sectPr w:rsidSect="00613C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13CEC" w:rsidP="00613CEC">
      <w:pPr>
        <w:pStyle w:val="SuperHeading"/>
      </w:pPr>
      <w:r w:rsidRPr="00613CEC">
        <w:t>Assessment Requirements for RIIWHS202D Enter and work in confined spaces</w:t>
      </w:r>
    </w:p>
    <w:p w:rsidR="00000000" w:rsidRPr="00613CEC" w:rsidP="00613CEC">
      <w:pPr>
        <w:pStyle w:val="Heading1"/>
      </w:pPr>
      <w:bookmarkStart w:id="1" w:name="O_681694"/>
      <w:bookmarkEnd w:id="1"/>
      <w:r w:rsidRPr="00613C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90C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Heading4"/>
              <w:rPr>
                <w:lang w:val="en-NZ"/>
              </w:rPr>
            </w:pPr>
            <w:r w:rsidRPr="00613CE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Heading4"/>
              <w:rPr>
                <w:lang w:val="en-NZ"/>
              </w:rPr>
            </w:pPr>
            <w:r w:rsidRPr="00613CEC">
              <w:t>Comment</w:t>
            </w:r>
          </w:p>
        </w:tc>
      </w:tr>
      <w:tr w:rsidTr="00590C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The unit replaces RIIOHS202A Enter and work in confined spaces.</w:t>
            </w:r>
          </w:p>
        </w:tc>
      </w:tr>
      <w:tr w:rsidTr="00590C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Editorial corrections.</w:t>
            </w:r>
          </w:p>
        </w:tc>
      </w:tr>
      <w:tr w:rsidTr="00590C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Amended Application field.</w:t>
            </w:r>
          </w:p>
        </w:tc>
      </w:tr>
      <w:tr w:rsidTr="00590C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CEC" w:rsidP="00613CEC">
            <w:pPr>
              <w:pStyle w:val="BodyText"/>
            </w:pPr>
            <w:r w:rsidRPr="00613CEC">
              <w:t>Required frequency and volume of evidence amended in Performance evidence.</w:t>
            </w:r>
          </w:p>
          <w:p w:rsidR="00000000" w:rsidRPr="00613CEC" w:rsidP="00613CEC">
            <w:pPr>
              <w:pStyle w:val="BodyText"/>
            </w:pPr>
            <w:r w:rsidRPr="00613CE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13CEC" w:rsidP="00613CEC">
      <w:pPr>
        <w:pStyle w:val="BodyText"/>
      </w:pPr>
    </w:p>
    <w:p w:rsidR="00000000" w:rsidRPr="00613CEC" w:rsidP="00613CEC">
      <w:pPr>
        <w:pStyle w:val="AllowPageBreak"/>
      </w:pPr>
    </w:p>
    <w:p w:rsidR="00000000" w:rsidRPr="00613CEC" w:rsidP="00613CEC">
      <w:pPr>
        <w:pStyle w:val="Heading1"/>
      </w:pPr>
      <w:bookmarkStart w:id="2" w:name="O_681693"/>
      <w:bookmarkEnd w:id="2"/>
      <w:r w:rsidRPr="00613CEC">
        <w:t>Performance</w:t>
      </w:r>
      <w:r w:rsidRPr="00613CEC">
        <w:t xml:space="preserve"> Evidence</w:t>
      </w:r>
    </w:p>
    <w:p w:rsidR="00000000" w:rsidRPr="00613CEC" w:rsidP="00590CB8">
      <w:pPr>
        <w:pStyle w:val="BodyText"/>
      </w:pPr>
      <w:r w:rsidRPr="00613CEC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613CEC">
        <w:t xml:space="preserve"> and include evidence that the candidate:</w:t>
      </w:r>
    </w:p>
    <w:p w:rsidR="00000000" w:rsidRPr="00613CEC" w:rsidP="00613CEC">
      <w:pPr>
        <w:pStyle w:val="ListBullet"/>
      </w:pPr>
      <w:r w:rsidRPr="00613CEC">
        <w:t>locates and applies relevant documentation, policies and procedures</w:t>
      </w:r>
    </w:p>
    <w:p w:rsidR="00000000" w:rsidRPr="00613CEC" w:rsidP="00613CEC">
      <w:pPr>
        <w:pStyle w:val="ListBullet"/>
      </w:pPr>
      <w:r w:rsidRPr="00613CEC">
        <w:t>demonstrates completion of entering and working in confined spaces that safely, effectively and efficiently meets all of the required outcomes on</w:t>
      </w:r>
      <w:r w:rsidRPr="00613CEC">
        <w:t xml:space="preserve"> more than one (1) occasion including:</w:t>
      </w:r>
    </w:p>
    <w:p w:rsidR="00000000" w:rsidRPr="00613CEC" w:rsidP="00613CEC">
      <w:pPr>
        <w:pStyle w:val="ListBullet2"/>
      </w:pPr>
      <w:r w:rsidRPr="00613CEC">
        <w:t>obtain appropriate entry permit and instructions for performing work in confined space</w:t>
      </w:r>
    </w:p>
    <w:p w:rsidR="00000000" w:rsidRPr="00613CEC" w:rsidP="00613CEC">
      <w:pPr>
        <w:pStyle w:val="ListBullet2"/>
      </w:pPr>
      <w:r w:rsidRPr="00613CEC">
        <w:t xml:space="preserve">interpreting and applying safe work method statements </w:t>
      </w:r>
    </w:p>
    <w:p w:rsidR="00000000" w:rsidRPr="00613CEC" w:rsidP="00613CEC">
      <w:pPr>
        <w:pStyle w:val="ListBullet2"/>
      </w:pPr>
      <w:r w:rsidRPr="00613CEC">
        <w:t>apply tagging and lock out</w:t>
      </w:r>
    </w:p>
    <w:p w:rsidR="00000000" w:rsidRPr="00613CEC" w:rsidP="00613CEC">
      <w:pPr>
        <w:pStyle w:val="ListBullet2"/>
      </w:pPr>
      <w:r w:rsidRPr="00613CEC">
        <w:t>selecting, wearing and caring for personal protective equipment applicable to all tasks and environment identified</w:t>
      </w:r>
    </w:p>
    <w:p w:rsidR="00000000" w:rsidRPr="00613CEC" w:rsidP="00613CEC">
      <w:pPr>
        <w:pStyle w:val="ListBullet2"/>
      </w:pPr>
      <w:r w:rsidRPr="00613CEC">
        <w:t>entering the confined space</w:t>
      </w:r>
    </w:p>
    <w:p w:rsidR="00000000" w:rsidRPr="00613CEC" w:rsidP="00613CEC">
      <w:pPr>
        <w:pStyle w:val="ListBullet2"/>
      </w:pPr>
      <w:r w:rsidRPr="00613CEC">
        <w:t xml:space="preserve">using atmospheric monitoring devices prior to entering the confined space </w:t>
      </w:r>
    </w:p>
    <w:p w:rsidR="00000000" w:rsidRPr="00613CEC" w:rsidP="00613CEC">
      <w:pPr>
        <w:pStyle w:val="ListBullet2"/>
      </w:pPr>
      <w:r w:rsidRPr="00613CEC">
        <w:t>working in the confined space</w:t>
      </w:r>
    </w:p>
    <w:p w:rsidR="00000000" w:rsidRPr="00613CEC" w:rsidP="00613CEC">
      <w:pPr>
        <w:pStyle w:val="ListBullet2"/>
      </w:pPr>
      <w:r w:rsidRPr="00613CEC">
        <w:t>using at</w:t>
      </w:r>
      <w:r w:rsidRPr="00613CEC">
        <w:t>mospheric monitoring devices during confined space activity</w:t>
      </w:r>
    </w:p>
    <w:p w:rsidR="00000000" w:rsidRPr="00613CEC" w:rsidP="00613CEC">
      <w:pPr>
        <w:pStyle w:val="ListBullet2"/>
      </w:pPr>
      <w:r w:rsidRPr="00613CEC">
        <w:t>applying safe materials handling methods</w:t>
      </w:r>
    </w:p>
    <w:p w:rsidR="00000000" w:rsidRPr="00613CEC" w:rsidP="00613CEC">
      <w:pPr>
        <w:pStyle w:val="ListBullet2"/>
      </w:pPr>
      <w:r w:rsidRPr="00613CEC">
        <w:t>exiting the confined space</w:t>
      </w:r>
    </w:p>
    <w:p w:rsidR="00000000" w:rsidRPr="00613CEC" w:rsidP="00613CEC">
      <w:pPr>
        <w:pStyle w:val="ListBullet2"/>
      </w:pPr>
      <w:r w:rsidRPr="00613CEC">
        <w:t>remove tagging and lock out</w:t>
      </w:r>
    </w:p>
    <w:p w:rsidR="00000000" w:rsidRPr="00613CEC" w:rsidP="00613CEC">
      <w:pPr>
        <w:pStyle w:val="AllowPageBreak"/>
      </w:pPr>
    </w:p>
    <w:p w:rsidR="00000000" w:rsidRPr="00613CEC" w:rsidP="00613CEC">
      <w:pPr>
        <w:pStyle w:val="Heading1"/>
      </w:pPr>
      <w:bookmarkStart w:id="3" w:name="O_681692"/>
      <w:bookmarkEnd w:id="3"/>
      <w:r w:rsidRPr="00613CEC">
        <w:t>Knowledge Evidence</w:t>
      </w:r>
    </w:p>
    <w:p w:rsidR="00000000" w:rsidRPr="00613CEC" w:rsidP="00590CB8">
      <w:pPr>
        <w:pStyle w:val="BodyText"/>
      </w:pPr>
      <w:r w:rsidRPr="00613CEC">
        <w:t>The candidate must demonstrate knowledge of enter and work in co</w:t>
      </w:r>
      <w:r w:rsidRPr="00613CEC">
        <w:t>nfined spaces through:</w:t>
      </w:r>
    </w:p>
    <w:p w:rsidR="00000000" w:rsidRPr="00613CEC" w:rsidP="00613CEC">
      <w:pPr>
        <w:pStyle w:val="ListBullet"/>
      </w:pPr>
      <w:r w:rsidRPr="00613CEC">
        <w:t>identifying areas that constitute confined spaces</w:t>
      </w:r>
    </w:p>
    <w:p w:rsidR="00000000" w:rsidRPr="00613CEC" w:rsidP="00613CEC">
      <w:pPr>
        <w:pStyle w:val="ListBullet"/>
      </w:pPr>
      <w:r w:rsidRPr="00613CEC">
        <w:t>complying with site and equipment safety requirements</w:t>
      </w:r>
    </w:p>
    <w:p w:rsidR="00000000" w:rsidRPr="00613CEC" w:rsidP="00613CEC">
      <w:pPr>
        <w:pStyle w:val="ListBullet"/>
      </w:pPr>
      <w:r w:rsidRPr="00613CEC">
        <w:t>complying with the  entry and exit procedures, risks and regulations</w:t>
      </w:r>
    </w:p>
    <w:p w:rsidR="00000000" w:rsidRPr="00613CEC" w:rsidP="00613CEC">
      <w:pPr>
        <w:pStyle w:val="ListBullet"/>
      </w:pPr>
      <w:r w:rsidRPr="00613CEC">
        <w:t>types of air contaminants and toxic gases</w:t>
      </w:r>
    </w:p>
    <w:p w:rsidR="00000000" w:rsidRPr="00613CEC" w:rsidP="00613CEC">
      <w:pPr>
        <w:pStyle w:val="ListBullet"/>
      </w:pPr>
      <w:r w:rsidRPr="00613CEC">
        <w:t xml:space="preserve">identifying the limitations of breathing apparatus </w:t>
      </w:r>
    </w:p>
    <w:p w:rsidR="00000000" w:rsidRPr="00613CEC" w:rsidP="00613CEC">
      <w:pPr>
        <w:pStyle w:val="ListBullet"/>
      </w:pPr>
      <w:r w:rsidRPr="00613CEC">
        <w:t>identifying equipment types, characteristics, technical capabilities and limitations</w:t>
      </w:r>
    </w:p>
    <w:p w:rsidR="00000000" w:rsidRPr="00613CEC" w:rsidP="00613CEC">
      <w:pPr>
        <w:pStyle w:val="ListBullet"/>
      </w:pPr>
      <w:r w:rsidRPr="00613CEC">
        <w:t>complying with site isolation and site control responsibilities and authorities</w:t>
      </w:r>
    </w:p>
    <w:p w:rsidR="00000000" w:rsidRPr="00613CEC" w:rsidP="00613CEC">
      <w:pPr>
        <w:pStyle w:val="ListBullet"/>
      </w:pPr>
      <w:r w:rsidRPr="00613CEC">
        <w:t>locations of safety data sheets (SDS) i</w:t>
      </w:r>
      <w:r w:rsidRPr="00613CEC">
        <w:t>nformation and application</w:t>
      </w:r>
    </w:p>
    <w:p w:rsidR="00000000" w:rsidRPr="00613CEC" w:rsidP="00613CEC">
      <w:pPr>
        <w:pStyle w:val="ListBullet"/>
      </w:pPr>
      <w:r w:rsidRPr="00613CEC">
        <w:t>using confined space and Industry terminology</w:t>
      </w:r>
    </w:p>
    <w:p w:rsidR="00000000" w:rsidRPr="00613CEC" w:rsidP="00613CEC">
      <w:pPr>
        <w:pStyle w:val="AllowPageBreak"/>
      </w:pPr>
    </w:p>
    <w:p w:rsidR="00000000" w:rsidRPr="00613CEC" w:rsidP="00613CEC">
      <w:pPr>
        <w:pStyle w:val="Heading1"/>
      </w:pPr>
      <w:bookmarkStart w:id="4" w:name="O_681691"/>
      <w:bookmarkEnd w:id="4"/>
      <w:r w:rsidRPr="00613CEC">
        <w:t>Assessment Conditions</w:t>
      </w:r>
    </w:p>
    <w:p w:rsidR="00000000" w:rsidRPr="00613CEC" w:rsidP="00613CEC">
      <w:pPr>
        <w:pStyle w:val="ListBullet"/>
      </w:pPr>
      <w:r w:rsidRPr="00613CEC">
        <w:t>An assessor of this unit must satisfy the requirements of the NVR/AQTF or their successors; and Industry regulations for certification and lice</w:t>
      </w:r>
      <w:r w:rsidRPr="00613CEC">
        <w:t xml:space="preserve">nsing; and, </w:t>
      </w:r>
    </w:p>
    <w:p w:rsidR="00000000" w:rsidRPr="00613CEC" w:rsidP="00613CEC">
      <w:pPr>
        <w:pStyle w:val="ListBullet"/>
      </w:pPr>
      <w:r w:rsidRPr="00613CEC">
        <w:t>this unit is best assessed in the context of this sector’s work environment;</w:t>
      </w:r>
    </w:p>
    <w:p w:rsidR="00000000" w:rsidRPr="00613CEC" w:rsidP="00613CEC">
      <w:pPr>
        <w:pStyle w:val="ListBullet"/>
      </w:pPr>
      <w:r w:rsidRPr="00613CEC">
        <w:t>where personal safety or environmental damage are limiting factors, assessment may occur in a simulated environment provided it is realistic and sufficiently rigorous</w:t>
      </w:r>
      <w:r w:rsidRPr="00613CEC">
        <w:t xml:space="preserve"> to cover all aspects of this sector’s workplace performance, including environment, task skills, task management skills, contingency management skills and job role environment skills; and,</w:t>
      </w:r>
    </w:p>
    <w:p w:rsidR="00000000" w:rsidRPr="00613CEC" w:rsidP="00613CEC">
      <w:pPr>
        <w:pStyle w:val="ListBullet"/>
      </w:pPr>
      <w:r w:rsidRPr="00613CEC">
        <w:t>this unit must be assessed in compliance with relevant legislation</w:t>
      </w:r>
      <w:r w:rsidRPr="00613CEC">
        <w:t>/regulation and using policies, procedures, processes and operational manuals directly related to the industry sector for which it is being assessed; and,</w:t>
      </w:r>
    </w:p>
    <w:p w:rsidR="00000000" w:rsidRPr="00613CEC" w:rsidP="00613CEC">
      <w:pPr>
        <w:pStyle w:val="ListBullet"/>
      </w:pPr>
      <w:r w:rsidRPr="00613CEC">
        <w:t>assessment may be conducted in conjunction with the assessment of other Units of Competency; and,</w:t>
      </w:r>
    </w:p>
    <w:p w:rsidR="00000000" w:rsidRPr="00613CEC" w:rsidP="00613CEC">
      <w:pPr>
        <w:pStyle w:val="ListBullet"/>
      </w:pPr>
      <w:r w:rsidRPr="00613CEC">
        <w:t>ass</w:t>
      </w:r>
      <w:r w:rsidRPr="00613CEC">
        <w:t>essment must confirm consistent performance can be applied in a range of relevant workplace circumstances; and,</w:t>
      </w:r>
    </w:p>
    <w:p w:rsidR="00000000" w:rsidRPr="00613CEC" w:rsidP="00613CEC">
      <w:pPr>
        <w:pStyle w:val="ListBullet"/>
      </w:pPr>
      <w:r w:rsidRPr="00613CEC">
        <w:t>assessors must demonstrate the performance evidence, and knowledge evidence as outlined in this Unit of Competency, and through the minimum year</w:t>
      </w:r>
      <w:r w:rsidRPr="00613CEC">
        <w:t>s of current* work experience specified below in an Industry sector relevant to the outcomes of the unit; or,</w:t>
      </w:r>
    </w:p>
    <w:p w:rsidR="00000000" w:rsidRPr="00613CEC" w:rsidP="00613CEC">
      <w:pPr>
        <w:pStyle w:val="ListBullet"/>
      </w:pPr>
      <w:r w:rsidRPr="00613CEC">
        <w:t xml:space="preserve">where the assessor does not meet experience requirements a co-assessment or partnership arrangement must exist between the qualified assessor and </w:t>
      </w:r>
      <w:r w:rsidRPr="00613CEC">
        <w:t>an Industry subject matter expert. The Industry subject matter expert should hold the unit being assessed (or an equivalent unit) and/or demonstrate equivalence of skills and knowledge at the unit level. An Industry technical expert must also demonstrate s</w:t>
      </w:r>
      <w:r w:rsidRPr="00613CEC">
        <w:t>kills and knowledge from the minimum years of current work experience specified below in the Industry sector, including time spent in roles related to the unit being assessed; and,</w:t>
      </w:r>
    </w:p>
    <w:p w:rsidR="00000000" w:rsidRPr="00613CEC" w:rsidP="00613CEC">
      <w:pPr>
        <w:pStyle w:val="ListBullet"/>
      </w:pPr>
      <w:r w:rsidRPr="00613CEC">
        <w:t>assessor and Industry subject matter expert requirements differ depending o</w:t>
      </w:r>
      <w:r w:rsidRPr="00613CEC">
        <w:t>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13C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SubHeading1"/>
              <w:rPr>
                <w:lang w:val="en-NZ"/>
              </w:rPr>
            </w:pPr>
            <w:r w:rsidRPr="00613CE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SubHeading1"/>
              <w:rPr>
                <w:lang w:val="en-NZ"/>
              </w:rPr>
            </w:pPr>
            <w:r w:rsidRPr="00613CE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SubHeading1"/>
              <w:rPr>
                <w:lang w:val="en-NZ"/>
              </w:rPr>
            </w:pPr>
            <w:r w:rsidRPr="00613CEC">
              <w:t>Required assessor or Industry subject matter expert experience</w:t>
            </w:r>
          </w:p>
        </w:tc>
      </w:tr>
      <w:tr w:rsidTr="00613C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1 Year</w:t>
            </w:r>
          </w:p>
        </w:tc>
      </w:tr>
      <w:tr w:rsidTr="00613C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2 Years</w:t>
            </w:r>
          </w:p>
        </w:tc>
      </w:tr>
      <w:tr w:rsidTr="00613C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3 Years</w:t>
            </w:r>
          </w:p>
        </w:tc>
      </w:tr>
      <w:tr w:rsidTr="00613C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5 Years</w:t>
            </w:r>
          </w:p>
        </w:tc>
      </w:tr>
      <w:tr w:rsidTr="00613C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CEC">
            <w:pPr>
              <w:pStyle w:val="BodyText"/>
              <w:rPr>
                <w:lang w:val="en-NZ"/>
              </w:rPr>
            </w:pPr>
            <w:r w:rsidRPr="00613CE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3CEC" w:rsidP="00613CEC">
            <w:pPr>
              <w:pStyle w:val="BodyText"/>
            </w:pPr>
            <w:r w:rsidRPr="00613CE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13CEC">
              <w:t>ndard is specified should comply with any relevant regulation.</w:t>
            </w:r>
          </w:p>
        </w:tc>
      </w:tr>
    </w:tbl>
    <w:p w:rsidR="00000000" w:rsidRPr="00613CEC" w:rsidP="00590CB8">
      <w:pPr>
        <w:pStyle w:val="BodyText"/>
      </w:pPr>
      <w:r w:rsidRPr="00613CEC">
        <w:t xml:space="preserve">*Assessors can demonstrate current work experience through employment within Industry in a role relevant to the outcomes of the Unit; or, for external </w:t>
      </w:r>
      <w:r w:rsidRPr="00613CEC">
        <w:t>assessors this can be demonstrated through exposure to Industry by conducting frequent site assessments across various locations.</w:t>
      </w:r>
    </w:p>
    <w:p w:rsidR="00000000" w:rsidRPr="00613CEC" w:rsidP="00590CB8">
      <w:pPr>
        <w:pStyle w:val="BodyText"/>
      </w:pPr>
      <w:r w:rsidRPr="00613CEC">
        <w:t>**Where a unit is being delivered outside of a Qualification the first numeric character in the Unit code should be considered</w:t>
      </w:r>
      <w:r w:rsidRPr="00613CEC">
        <w:t xml:space="preserve"> to indicate the AQF level</w:t>
      </w:r>
    </w:p>
    <w:p w:rsidR="00000000" w:rsidRPr="00613CEC" w:rsidP="00613CEC">
      <w:pPr>
        <w:pStyle w:val="Heading1"/>
      </w:pPr>
      <w:bookmarkStart w:id="5" w:name="O_681702"/>
      <w:bookmarkEnd w:id="5"/>
      <w:r w:rsidRPr="00613CEC">
        <w:t>Links</w:t>
      </w:r>
    </w:p>
    <w:p w:rsidR="00000000" w:rsidRPr="00613CEC" w:rsidP="00590CB8">
      <w:pPr>
        <w:pStyle w:val="BodyText"/>
      </w:pPr>
      <w:r w:rsidRPr="00613C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813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3CEC" w:rsidP="00613CEC"/>
    <w:sectPr w:rsidSect="00613C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C" w:rsidRPr="00590CB8" w:rsidP="00590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B8" w:rsidP="00613C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CB8" w:rsidP="00613C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90CB8" w:rsidP="00613C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CEC" w:rsidRPr="00590CB8" w:rsidP="00590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B8" w:rsidRPr="002D2AF8" w:rsidP="00613C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RIIWHS202D Enter and work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90CB8" w:rsidP="00613C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62A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AE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D8F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C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C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C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C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C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C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C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C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C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C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C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CEC"/>
  </w:style>
  <w:style w:type="character" w:customStyle="1" w:styleId="Heading1Char">
    <w:name w:val="Heading 1 Char"/>
    <w:basedOn w:val="DefaultParagraphFont"/>
    <w:link w:val="Heading1"/>
    <w:rsid w:val="00613C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C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13C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C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C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3C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3C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C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613CEC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613C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C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C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C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C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C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C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C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C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C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C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C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C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C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C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CEC"/>
    <w:rPr>
      <w:b/>
      <w:spacing w:val="0"/>
    </w:rPr>
  </w:style>
  <w:style w:type="paragraph" w:customStyle="1" w:styleId="SuperTitle">
    <w:name w:val="SuperTitle"/>
    <w:basedOn w:val="Title"/>
    <w:rsid w:val="00613C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C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C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C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C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C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C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C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C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C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C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C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CEC"/>
    <w:rPr>
      <w:i/>
    </w:rPr>
  </w:style>
  <w:style w:type="paragraph" w:styleId="Caption">
    <w:name w:val="caption"/>
    <w:basedOn w:val="BodyText"/>
    <w:next w:val="Normal"/>
    <w:qFormat/>
    <w:rsid w:val="00613C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C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C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CEC"/>
  </w:style>
  <w:style w:type="paragraph" w:styleId="TableofFigures">
    <w:name w:val="table of figures"/>
    <w:basedOn w:val="Normal"/>
    <w:next w:val="Normal"/>
    <w:semiHidden/>
    <w:rsid w:val="00613C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C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CEC"/>
    <w:rPr>
      <w:rFonts w:ascii="Wingdings" w:hAnsi="Wingdings"/>
    </w:rPr>
  </w:style>
  <w:style w:type="paragraph" w:customStyle="1" w:styleId="TableHeading">
    <w:name w:val="Table Heading"/>
    <w:basedOn w:val="HeadingBase"/>
    <w:rsid w:val="00613C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CEC"/>
    <w:rPr>
      <w:color w:val="0033CC"/>
      <w:u w:val="none"/>
    </w:rPr>
  </w:style>
  <w:style w:type="paragraph" w:customStyle="1" w:styleId="BodyTextRight">
    <w:name w:val="Body Text Right"/>
    <w:basedOn w:val="BodyText"/>
    <w:rsid w:val="00613C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C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C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C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C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C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CEC"/>
    <w:rPr>
      <w:sz w:val="32"/>
    </w:rPr>
  </w:style>
  <w:style w:type="paragraph" w:customStyle="1" w:styleId="HeadingProcedure">
    <w:name w:val="Heading Procedure"/>
    <w:basedOn w:val="HeadingBase"/>
    <w:next w:val="Normal"/>
    <w:rsid w:val="00613C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CEC"/>
    <w:pPr>
      <w:spacing w:before="60" w:after="60"/>
    </w:pPr>
  </w:style>
  <w:style w:type="paragraph" w:styleId="ListContinue">
    <w:name w:val="List Continue"/>
    <w:basedOn w:val="List"/>
    <w:rsid w:val="00613CEC"/>
    <w:pPr>
      <w:ind w:firstLine="0"/>
    </w:pPr>
  </w:style>
  <w:style w:type="paragraph" w:customStyle="1" w:styleId="ListNote">
    <w:name w:val="List Note"/>
    <w:basedOn w:val="List"/>
    <w:rsid w:val="00613C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C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C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CEC"/>
    <w:rPr>
      <w:rFonts w:ascii="Courier New" w:hAnsi="Courier New"/>
    </w:rPr>
  </w:style>
  <w:style w:type="paragraph" w:customStyle="1" w:styleId="NoteBullet">
    <w:name w:val="Note Bullet"/>
    <w:basedOn w:val="Note"/>
    <w:rsid w:val="00613C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CE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613C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C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C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C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CEC"/>
    <w:rPr>
      <w:b/>
      <w:smallCaps/>
    </w:rPr>
  </w:style>
  <w:style w:type="paragraph" w:customStyle="1" w:styleId="TableListNumber">
    <w:name w:val="Table List Number"/>
    <w:basedOn w:val="ListNumber"/>
    <w:rsid w:val="00613C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C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CEC"/>
    <w:pPr>
      <w:numPr>
        <w:numId w:val="9"/>
      </w:numPr>
    </w:pPr>
  </w:style>
  <w:style w:type="paragraph" w:customStyle="1" w:styleId="ListAlpha2">
    <w:name w:val="List Alpha 2"/>
    <w:basedOn w:val="List2"/>
    <w:rsid w:val="00613CEC"/>
    <w:pPr>
      <w:numPr>
        <w:numId w:val="8"/>
      </w:numPr>
    </w:pPr>
  </w:style>
  <w:style w:type="paragraph" w:styleId="List2">
    <w:name w:val="List 2"/>
    <w:basedOn w:val="BodyText"/>
    <w:rsid w:val="00613C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C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C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C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C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C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CEC"/>
    <w:pPr>
      <w:numPr>
        <w:numId w:val="4"/>
      </w:numPr>
    </w:pPr>
  </w:style>
  <w:style w:type="paragraph" w:styleId="ListContinue2">
    <w:name w:val="List Continue 2"/>
    <w:basedOn w:val="List2"/>
    <w:rsid w:val="00613CEC"/>
    <w:pPr>
      <w:ind w:firstLine="0"/>
    </w:pPr>
  </w:style>
  <w:style w:type="paragraph" w:styleId="ListContinue3">
    <w:name w:val="List Continue 3"/>
    <w:basedOn w:val="List3"/>
    <w:rsid w:val="00613CEC"/>
    <w:pPr>
      <w:ind w:left="1021" w:firstLine="0"/>
    </w:pPr>
  </w:style>
  <w:style w:type="paragraph" w:styleId="ListContinue4">
    <w:name w:val="List Continue 4"/>
    <w:basedOn w:val="List4"/>
    <w:rsid w:val="00613CEC"/>
    <w:pPr>
      <w:ind w:firstLine="0"/>
    </w:pPr>
  </w:style>
  <w:style w:type="paragraph" w:styleId="ListContinue5">
    <w:name w:val="List Continue 5"/>
    <w:basedOn w:val="List5"/>
    <w:rsid w:val="00613CEC"/>
    <w:pPr>
      <w:ind w:firstLine="0"/>
    </w:pPr>
  </w:style>
  <w:style w:type="paragraph" w:styleId="ListNumber3">
    <w:name w:val="List Number 3"/>
    <w:basedOn w:val="List3"/>
    <w:rsid w:val="00613CEC"/>
    <w:pPr>
      <w:numPr>
        <w:numId w:val="5"/>
      </w:numPr>
    </w:pPr>
  </w:style>
  <w:style w:type="paragraph" w:styleId="ListNumber4">
    <w:name w:val="List Number 4"/>
    <w:basedOn w:val="List4"/>
    <w:rsid w:val="00613CEC"/>
    <w:pPr>
      <w:numPr>
        <w:numId w:val="6"/>
      </w:numPr>
    </w:pPr>
  </w:style>
  <w:style w:type="paragraph" w:styleId="ListNumber5">
    <w:name w:val="List Number 5"/>
    <w:basedOn w:val="List5"/>
    <w:rsid w:val="00613CEC"/>
    <w:pPr>
      <w:numPr>
        <w:numId w:val="7"/>
      </w:numPr>
    </w:pPr>
  </w:style>
  <w:style w:type="paragraph" w:styleId="BlockText">
    <w:name w:val="Block Text"/>
    <w:basedOn w:val="Normal"/>
    <w:rsid w:val="00613C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C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CEC"/>
    <w:rPr>
      <w:sz w:val="16"/>
      <w:vertAlign w:val="superscript"/>
    </w:rPr>
  </w:style>
  <w:style w:type="character" w:customStyle="1" w:styleId="Symbols">
    <w:name w:val="Symbols"/>
    <w:basedOn w:val="DefaultParagraphFont"/>
    <w:rsid w:val="00613CEC"/>
    <w:rPr>
      <w:rFonts w:ascii="Symbol" w:hAnsi="Symbol"/>
    </w:rPr>
  </w:style>
  <w:style w:type="character" w:customStyle="1" w:styleId="MenuOptions">
    <w:name w:val="Menu Options"/>
    <w:basedOn w:val="DefaultParagraphFont"/>
    <w:rsid w:val="00613C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CEC"/>
    <w:rPr>
      <w:b/>
    </w:rPr>
  </w:style>
  <w:style w:type="character" w:customStyle="1" w:styleId="Underlined">
    <w:name w:val="Underlined"/>
    <w:basedOn w:val="DefaultParagraphFont"/>
    <w:rsid w:val="00613CEC"/>
    <w:rPr>
      <w:u w:val="single"/>
    </w:rPr>
  </w:style>
  <w:style w:type="paragraph" w:customStyle="1" w:styleId="TableBodyTextRight">
    <w:name w:val="Table Body Text Right"/>
    <w:basedOn w:val="TableBodyText"/>
    <w:rsid w:val="00613C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CEC"/>
    <w:rPr>
      <w:sz w:val="18"/>
    </w:rPr>
  </w:style>
  <w:style w:type="paragraph" w:customStyle="1" w:styleId="BodySmallRight">
    <w:name w:val="Body Small Right"/>
    <w:basedOn w:val="BodyTextRight"/>
    <w:rsid w:val="00613CEC"/>
    <w:rPr>
      <w:sz w:val="18"/>
      <w:szCs w:val="18"/>
    </w:rPr>
  </w:style>
  <w:style w:type="paragraph" w:customStyle="1" w:styleId="MarginEdition">
    <w:name w:val="Margin Edition"/>
    <w:basedOn w:val="MarginNote"/>
    <w:rsid w:val="00613C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CEC"/>
    <w:rPr>
      <w:sz w:val="2"/>
      <w:szCs w:val="2"/>
    </w:rPr>
  </w:style>
  <w:style w:type="character" w:customStyle="1" w:styleId="Small">
    <w:name w:val="Small"/>
    <w:basedOn w:val="DefaultParagraphFont"/>
    <w:rsid w:val="00613CEC"/>
    <w:rPr>
      <w:sz w:val="16"/>
    </w:rPr>
  </w:style>
  <w:style w:type="paragraph" w:customStyle="1" w:styleId="WideTable">
    <w:name w:val="Wide Table"/>
    <w:basedOn w:val="Normal"/>
    <w:rsid w:val="00613C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CEC"/>
  </w:style>
  <w:style w:type="paragraph" w:styleId="Quote">
    <w:name w:val="Quote"/>
    <w:basedOn w:val="Heading1"/>
    <w:link w:val="QuoteChar"/>
    <w:qFormat/>
    <w:rsid w:val="00613C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C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CEC"/>
    <w:pPr>
      <w:pageBreakBefore/>
    </w:pPr>
  </w:style>
  <w:style w:type="paragraph" w:customStyle="1" w:styleId="Border">
    <w:name w:val="Border"/>
    <w:basedOn w:val="Normal"/>
    <w:qFormat/>
    <w:rsid w:val="00613C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C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C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C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C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C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C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C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C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CEC"/>
    <w:rPr>
      <w:u w:val="single"/>
    </w:rPr>
  </w:style>
  <w:style w:type="character" w:customStyle="1" w:styleId="BoldandItalics">
    <w:name w:val="Bold and Italics"/>
    <w:qFormat/>
    <w:rsid w:val="00613CEC"/>
    <w:rPr>
      <w:b/>
      <w:i/>
      <w:u w:val="none"/>
    </w:rPr>
  </w:style>
  <w:style w:type="paragraph" w:styleId="BalloonText">
    <w:name w:val="Balloon Text"/>
    <w:basedOn w:val="Normal"/>
    <w:link w:val="BalloonTextChar"/>
    <w:rsid w:val="00613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C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C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C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C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C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CEC"/>
    <w:pPr>
      <w:spacing w:before="0" w:after="0"/>
    </w:pPr>
  </w:style>
  <w:style w:type="paragraph" w:customStyle="1" w:styleId="BodyTextBold">
    <w:name w:val="Body Text Bold"/>
    <w:basedOn w:val="BodyText"/>
    <w:qFormat/>
    <w:rsid w:val="00613CEC"/>
    <w:rPr>
      <w:b/>
    </w:rPr>
  </w:style>
  <w:style w:type="character" w:styleId="Hyperlink">
    <w:name w:val="Hyperlink"/>
    <w:basedOn w:val="DefaultParagraphFont"/>
    <w:uiPriority w:val="99"/>
    <w:unhideWhenUsed/>
    <w:rsid w:val="00590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5091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RIIWHS202D Enter and work in confined spaces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