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D1F" w:rsidP="00B90D1F">
      <w:pPr>
        <w:pStyle w:val="Title"/>
      </w:pPr>
      <w:r>
        <w:fldChar w:fldCharType="begin"/>
      </w:r>
      <w:r>
        <w:instrText xml:space="preserve"> TITLE   \* MERGEFORMAT </w:instrText>
      </w:r>
      <w:r>
        <w:fldChar w:fldCharType="separate"/>
      </w:r>
      <w:r>
        <w:t>Assessment Requirements for RIIVEH203D Operate light vehicle underground</w:t>
      </w:r>
      <w:r>
        <w:fldChar w:fldCharType="end"/>
      </w:r>
    </w:p>
    <w:p w:rsidR="00B90D1F" w:rsidP="00B90D1F">
      <w:pPr>
        <w:pStyle w:val="Version"/>
        <w:sectPr w:rsidSect="00AE41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E412F" w:rsidP="00AE412F">
      <w:pPr>
        <w:pStyle w:val="SuperHeading"/>
      </w:pPr>
      <w:r w:rsidRPr="00AE412F">
        <w:t>Assessment Requirements for RIIVEH203D Operate light vehicle underground</w:t>
      </w:r>
    </w:p>
    <w:p w:rsidR="00000000" w:rsidRPr="00AE412F" w:rsidP="00AE412F">
      <w:pPr>
        <w:pStyle w:val="Heading1"/>
      </w:pPr>
      <w:bookmarkStart w:id="1" w:name="O_1070924"/>
      <w:bookmarkEnd w:id="1"/>
      <w:r w:rsidRPr="00AE412F">
        <w:t>Modification History</w:t>
      </w:r>
    </w:p>
    <w:tbl>
      <w:tblPr>
        <w:tblW w:w="0" w:type="auto"/>
        <w:tblCellMar>
          <w:left w:w="62" w:type="dxa"/>
          <w:right w:w="62" w:type="dxa"/>
        </w:tblCellMar>
        <w:tblLook w:val="0000"/>
      </w:tblPr>
      <w:tblGrid>
        <w:gridCol w:w="1107"/>
        <w:gridCol w:w="8089"/>
      </w:tblGrid>
      <w:tr w:rsidTr="00B90D1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12F">
            <w:pPr>
              <w:pStyle w:val="Heading4"/>
              <w:rPr>
                <w:lang w:val="en-NZ"/>
              </w:rPr>
            </w:pPr>
            <w:r w:rsidRPr="00AE412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12F">
            <w:pPr>
              <w:pStyle w:val="Heading4"/>
              <w:rPr>
                <w:lang w:val="en-NZ"/>
              </w:rPr>
            </w:pPr>
            <w:r w:rsidRPr="00AE412F">
              <w:t>Comment</w:t>
            </w:r>
          </w:p>
        </w:tc>
      </w:tr>
      <w:tr w:rsidTr="00B90D1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12F">
            <w:pPr>
              <w:pStyle w:val="BodyText"/>
              <w:rPr>
                <w:lang w:val="en-NZ"/>
              </w:rPr>
            </w:pPr>
            <w:r w:rsidRPr="00AE412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12F">
            <w:pPr>
              <w:pStyle w:val="BodyText"/>
              <w:rPr>
                <w:lang w:val="en-NZ"/>
              </w:rPr>
            </w:pPr>
            <w:r w:rsidRPr="00AE412F">
              <w:t>This unit replaces RIIVEH203B Operate light vehicle underground</w:t>
            </w:r>
          </w:p>
        </w:tc>
      </w:tr>
      <w:tr w:rsidTr="00B90D1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12F">
            <w:pPr>
              <w:pStyle w:val="BodyText"/>
              <w:rPr>
                <w:lang w:val="en-NZ"/>
              </w:rPr>
            </w:pPr>
            <w:r w:rsidRPr="00AE412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12F">
            <w:pPr>
              <w:pStyle w:val="BodyText"/>
              <w:rPr>
                <w:lang w:val="en-NZ"/>
              </w:rPr>
            </w:pPr>
            <w:r w:rsidRPr="00AE412F">
              <w:t>Editorial corrections.</w:t>
            </w:r>
          </w:p>
        </w:tc>
      </w:tr>
      <w:tr w:rsidTr="00B90D1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12F">
            <w:pPr>
              <w:pStyle w:val="BodyText"/>
              <w:rPr>
                <w:lang w:val="en-NZ"/>
              </w:rPr>
            </w:pPr>
            <w:r w:rsidRPr="00AE412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12F" w:rsidP="00AE412F">
            <w:pPr>
              <w:pStyle w:val="BodyText"/>
            </w:pPr>
            <w:r w:rsidRPr="00AE412F">
              <w:t>Required freq</w:t>
            </w:r>
            <w:r w:rsidRPr="00AE412F">
              <w:t>uency and volume of evidence amended in Performance evidence.</w:t>
            </w:r>
          </w:p>
          <w:p w:rsidR="00000000" w:rsidP="00AE412F">
            <w:pPr>
              <w:pStyle w:val="BodyText"/>
              <w:rPr>
                <w:lang w:val="en-NZ"/>
              </w:rPr>
            </w:pPr>
            <w:r w:rsidRPr="00AE412F">
              <w:t>Substantial amendments made in Assessment Conditions field, including: references to Industry Sectors, assessor and subject matter expert experience requirements, how assessment should be conduc</w:t>
            </w:r>
            <w:r w:rsidRPr="00AE412F">
              <w:t>ted and what it should confirm.</w:t>
            </w:r>
          </w:p>
        </w:tc>
      </w:tr>
      <w:tr w:rsidTr="00B90D1F">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12F">
            <w:pPr>
              <w:pStyle w:val="BodyText"/>
              <w:rPr>
                <w:lang w:val="en-NZ"/>
              </w:rPr>
            </w:pPr>
            <w:r w:rsidRPr="00AE412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12F" w:rsidP="00AE412F">
            <w:pPr>
              <w:pStyle w:val="BodyText"/>
            </w:pPr>
            <w:r w:rsidRPr="00AE412F">
              <w:t>Editorial corrections.</w:t>
            </w:r>
          </w:p>
        </w:tc>
      </w:tr>
    </w:tbl>
    <w:p w:rsidR="00000000" w:rsidRPr="00AE412F" w:rsidP="00AE412F">
      <w:pPr>
        <w:pStyle w:val="BodyText"/>
      </w:pPr>
    </w:p>
    <w:p w:rsidR="00000000" w:rsidRPr="00AE412F" w:rsidP="00AE412F">
      <w:pPr>
        <w:pStyle w:val="AllowPageBreak"/>
      </w:pPr>
    </w:p>
    <w:p w:rsidR="00000000" w:rsidRPr="00AE412F" w:rsidP="00AE412F">
      <w:pPr>
        <w:pStyle w:val="Heading1"/>
      </w:pPr>
      <w:bookmarkStart w:id="2" w:name="O_1070923"/>
      <w:bookmarkEnd w:id="2"/>
      <w:r w:rsidRPr="00AE412F">
        <w:t>Performance Evidence</w:t>
      </w:r>
    </w:p>
    <w:p w:rsidR="00000000" w:rsidRPr="00AE412F" w:rsidP="00B90D1F">
      <w:pPr>
        <w:pStyle w:val="BodyText"/>
      </w:pPr>
      <w:r w:rsidRPr="00AE412F">
        <w:t>Evidence is required to be collected that demonstrates a candidate’s competency in this unit. Evidence must be relevant to the roles within this sector’</w:t>
      </w:r>
      <w:r w:rsidRPr="00AE412F">
        <w:t>s work operations and satisfy all of the requirements of the performance criteria of this unit and include evidence that the candidate:</w:t>
      </w:r>
    </w:p>
    <w:p w:rsidR="00000000" w:rsidRPr="00AE412F" w:rsidP="00AE412F">
      <w:pPr>
        <w:pStyle w:val="ListBullet"/>
      </w:pPr>
      <w:r w:rsidRPr="00AE412F">
        <w:t>locates and applies relevant documentation, policies and procedures</w:t>
      </w:r>
    </w:p>
    <w:p w:rsidR="00000000" w:rsidRPr="00AE412F" w:rsidP="00AE412F">
      <w:pPr>
        <w:pStyle w:val="ListBullet"/>
      </w:pPr>
      <w:r w:rsidRPr="00AE412F">
        <w:t xml:space="preserve">demonstrates completion of operating light vehicle </w:t>
      </w:r>
      <w:r w:rsidRPr="00AE412F">
        <w:t>underground that safely, effectively and efficiently meets all of the required outcomes on more than one (1) occasion including:</w:t>
      </w:r>
    </w:p>
    <w:p w:rsidR="00000000" w:rsidRPr="00AE412F" w:rsidP="00AE412F">
      <w:pPr>
        <w:pStyle w:val="ListBullet2"/>
      </w:pPr>
      <w:r w:rsidRPr="00AE412F">
        <w:t xml:space="preserve">organising work activities to comply with site standards </w:t>
      </w:r>
    </w:p>
    <w:p w:rsidR="00000000" w:rsidRPr="00AE412F" w:rsidP="00AE412F">
      <w:pPr>
        <w:pStyle w:val="ListBullet2"/>
      </w:pPr>
      <w:r w:rsidRPr="00AE412F">
        <w:t>carry out pre-start checks</w:t>
      </w:r>
    </w:p>
    <w:p w:rsidR="00000000" w:rsidRPr="00AE412F" w:rsidP="00AE412F">
      <w:pPr>
        <w:pStyle w:val="ListBullet2"/>
      </w:pPr>
      <w:r w:rsidRPr="00AE412F">
        <w:t>identify and clearly report environmental</w:t>
      </w:r>
      <w:r w:rsidRPr="00AE412F">
        <w:t xml:space="preserve"> issues </w:t>
      </w:r>
    </w:p>
    <w:p w:rsidR="00000000" w:rsidRPr="00AE412F" w:rsidP="00AE412F">
      <w:pPr>
        <w:pStyle w:val="ListBullet2"/>
      </w:pPr>
      <w:r w:rsidRPr="00AE412F">
        <w:t xml:space="preserve">clearly communicate with other personnel </w:t>
      </w:r>
    </w:p>
    <w:p w:rsidR="00000000" w:rsidRPr="00AE412F" w:rsidP="00AE412F">
      <w:pPr>
        <w:pStyle w:val="ListBullet2"/>
      </w:pPr>
      <w:r w:rsidRPr="00AE412F">
        <w:t xml:space="preserve">carry out start-up procedures </w:t>
      </w:r>
    </w:p>
    <w:p w:rsidR="00000000" w:rsidRPr="00AE412F" w:rsidP="00AE412F">
      <w:pPr>
        <w:pStyle w:val="ListBullet2"/>
      </w:pPr>
      <w:r w:rsidRPr="00AE412F">
        <w:t xml:space="preserve">operate, steer, manoeuvre and position vehicle and ancillary equipment </w:t>
      </w:r>
    </w:p>
    <w:p w:rsidR="00000000" w:rsidRPr="00AE412F" w:rsidP="00AE412F">
      <w:pPr>
        <w:pStyle w:val="ListBullet2"/>
      </w:pPr>
      <w:r w:rsidRPr="00AE412F">
        <w:t xml:space="preserve">carry out inspections and identify faults </w:t>
      </w:r>
    </w:p>
    <w:p w:rsidR="00000000" w:rsidRPr="00AE412F" w:rsidP="00AE412F">
      <w:pPr>
        <w:pStyle w:val="ListBullet2"/>
      </w:pPr>
      <w:r w:rsidRPr="00AE412F">
        <w:t>process written records and reports</w:t>
      </w:r>
    </w:p>
    <w:p w:rsidR="00000000" w:rsidRPr="00AE412F" w:rsidP="00AE412F">
      <w:pPr>
        <w:pStyle w:val="ListBullet2"/>
      </w:pPr>
      <w:r w:rsidRPr="00AE412F">
        <w:t>clean, maintain and sto</w:t>
      </w:r>
      <w:r w:rsidRPr="00AE412F">
        <w:t>re vehicle and all attachments</w:t>
      </w:r>
    </w:p>
    <w:p w:rsidR="00000000" w:rsidRPr="00AE412F" w:rsidP="00AE412F">
      <w:pPr>
        <w:pStyle w:val="AllowPageBreak"/>
      </w:pPr>
    </w:p>
    <w:p w:rsidR="00000000" w:rsidRPr="00AE412F" w:rsidP="00AE412F">
      <w:pPr>
        <w:pStyle w:val="Heading1"/>
      </w:pPr>
      <w:bookmarkStart w:id="3" w:name="O_1070922"/>
      <w:bookmarkEnd w:id="3"/>
      <w:r w:rsidRPr="00AE412F">
        <w:t>Knowledge Evidence</w:t>
      </w:r>
    </w:p>
    <w:p w:rsidR="00000000" w:rsidRPr="00AE412F" w:rsidP="00B90D1F">
      <w:pPr>
        <w:pStyle w:val="BodyText"/>
      </w:pPr>
      <w:r w:rsidRPr="00AE412F">
        <w:t>The candidate must demonstrate knowledge of the following when operating a light vehicle underground through:</w:t>
      </w:r>
    </w:p>
    <w:p w:rsidR="00000000" w:rsidRPr="00AE412F" w:rsidP="00AE412F">
      <w:pPr>
        <w:pStyle w:val="ListBullet2"/>
      </w:pPr>
      <w:r w:rsidRPr="00AE412F">
        <w:t xml:space="preserve">accessing, interpreting and applying the organisation and site requirements and procedures </w:t>
      </w:r>
    </w:p>
    <w:p w:rsidR="00000000" w:rsidRPr="00AE412F" w:rsidP="00AE412F">
      <w:pPr>
        <w:pStyle w:val="ListBullet2"/>
      </w:pPr>
      <w:r w:rsidRPr="00AE412F">
        <w:t>interpretation of geological and technical data</w:t>
      </w:r>
    </w:p>
    <w:p w:rsidR="00000000" w:rsidRPr="00AE412F" w:rsidP="00AE412F">
      <w:pPr>
        <w:pStyle w:val="ListBullet2"/>
      </w:pPr>
      <w:r w:rsidRPr="00AE412F">
        <w:t>complying with hazardous goods procedures and consequences of spills</w:t>
      </w:r>
    </w:p>
    <w:p w:rsidR="00000000" w:rsidRPr="00AE412F" w:rsidP="00AE412F">
      <w:pPr>
        <w:pStyle w:val="ListBullet2"/>
      </w:pPr>
      <w:r w:rsidRPr="00AE412F">
        <w:t>complying with isolation procedures</w:t>
      </w:r>
    </w:p>
    <w:p w:rsidR="00000000" w:rsidRPr="00AE412F" w:rsidP="00AE412F">
      <w:pPr>
        <w:pStyle w:val="ListBullet2"/>
      </w:pPr>
      <w:r w:rsidRPr="00AE412F">
        <w:t>identifying</w:t>
      </w:r>
      <w:r w:rsidRPr="00AE412F">
        <w:t xml:space="preserve"> and working within mine operational system</w:t>
      </w:r>
    </w:p>
    <w:p w:rsidR="00000000" w:rsidRPr="00AE412F" w:rsidP="00AE412F">
      <w:pPr>
        <w:pStyle w:val="ListBullet2"/>
      </w:pPr>
      <w:r w:rsidRPr="00AE412F">
        <w:t>carrying out operational procedures and checks</w:t>
      </w:r>
    </w:p>
    <w:p w:rsidR="00000000" w:rsidRPr="00AE412F" w:rsidP="00AE412F">
      <w:pPr>
        <w:pStyle w:val="AllowPageBreak"/>
      </w:pPr>
    </w:p>
    <w:p w:rsidR="00000000" w:rsidRPr="00AE412F" w:rsidP="00AE412F">
      <w:pPr>
        <w:pStyle w:val="Heading1"/>
      </w:pPr>
      <w:bookmarkStart w:id="4" w:name="O_1070921"/>
      <w:bookmarkEnd w:id="4"/>
      <w:r w:rsidRPr="00AE412F">
        <w:t>Assessment Conditions</w:t>
      </w:r>
    </w:p>
    <w:p w:rsidR="00000000" w:rsidRPr="00AE412F" w:rsidP="00AE412F">
      <w:pPr>
        <w:pStyle w:val="ListBullet"/>
      </w:pPr>
      <w:r w:rsidRPr="00AE412F">
        <w:t>An assessor of this unit must satisfy the requirements of the NVR/AQTF or their successors; and Industry regulations for ce</w:t>
      </w:r>
      <w:r w:rsidRPr="00AE412F">
        <w:t xml:space="preserve">rtification and licensing; and, </w:t>
      </w:r>
    </w:p>
    <w:p w:rsidR="00000000" w:rsidRPr="00AE412F" w:rsidP="00AE412F">
      <w:pPr>
        <w:pStyle w:val="ListBullet"/>
      </w:pPr>
      <w:r w:rsidRPr="00AE412F">
        <w:t>this unit must be assessed in the context of this sector’s work environment; and,</w:t>
      </w:r>
    </w:p>
    <w:p w:rsidR="00000000" w:rsidRPr="00AE412F" w:rsidP="00AE412F">
      <w:pPr>
        <w:pStyle w:val="ListBullet"/>
      </w:pPr>
      <w:r w:rsidRPr="00AE412F">
        <w:t>this unit must be assessed in compliance with relevant legislation/regulation and using policies, procedures, processes and operational manua</w:t>
      </w:r>
      <w:r w:rsidRPr="00AE412F">
        <w:t>ls directly related to the industry sector for which it is being assessed; and,</w:t>
      </w:r>
    </w:p>
    <w:p w:rsidR="00000000" w:rsidRPr="00AE412F" w:rsidP="00AE412F">
      <w:pPr>
        <w:pStyle w:val="ListBullet"/>
      </w:pPr>
      <w:r w:rsidRPr="00AE412F">
        <w:t>assessment may be conducted in conjunction with the assessment of other Units of Competency; and,</w:t>
      </w:r>
    </w:p>
    <w:p w:rsidR="00000000" w:rsidRPr="00AE412F" w:rsidP="00AE412F">
      <w:pPr>
        <w:pStyle w:val="ListBullet"/>
      </w:pPr>
      <w:r w:rsidRPr="00AE412F">
        <w:t>assessment must confirm consistent performance can be applied in a range of re</w:t>
      </w:r>
      <w:r w:rsidRPr="00AE412F">
        <w:t>levant workplace circumstances; and,</w:t>
      </w:r>
    </w:p>
    <w:p w:rsidR="00000000" w:rsidRPr="00AE412F" w:rsidP="00AE412F">
      <w:pPr>
        <w:pStyle w:val="ListBullet"/>
      </w:pPr>
      <w:r w:rsidRPr="00AE412F">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AE412F" w:rsidP="00AE412F">
      <w:pPr>
        <w:pStyle w:val="ListBullet"/>
      </w:pPr>
      <w:r w:rsidRPr="00AE412F">
        <w:t>wh</w:t>
      </w:r>
      <w:r w:rsidRPr="00AE412F">
        <w:t>ere the assessor does not meet experience requirements a co-assessment or partnership arrangement must exist between the qualified assessor and an Industry subject matter expert. The Industry subject matter expert should hold the unit being assessed (or an</w:t>
      </w:r>
      <w:r w:rsidRPr="00AE412F">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AE412F">
        <w:t>cluding time spent in roles related to the unit being assessed; and,</w:t>
      </w:r>
    </w:p>
    <w:p w:rsidR="00000000" w:rsidRPr="00AE412F" w:rsidP="00AE412F">
      <w:pPr>
        <w:pStyle w:val="ListBullet"/>
      </w:pPr>
      <w:r w:rsidRPr="00AE412F">
        <w:t>assessor and Industry subject matter expert requirements differ depending on the Australian Qualifications Framework Level (AQF) of the qualification being assessed and/or Industry Sector</w:t>
      </w:r>
      <w:r w:rsidRPr="00AE412F">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AE41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12F">
            <w:pPr>
              <w:pStyle w:val="SubHeading1"/>
              <w:rPr>
                <w:lang w:val="en-NZ"/>
              </w:rPr>
            </w:pPr>
            <w:r w:rsidRPr="00AE412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12F">
            <w:pPr>
              <w:pStyle w:val="SubHeading1"/>
              <w:rPr>
                <w:lang w:val="en-NZ"/>
              </w:rPr>
            </w:pPr>
            <w:r w:rsidRPr="00AE412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12F">
            <w:pPr>
              <w:pStyle w:val="SubHeading1"/>
              <w:rPr>
                <w:lang w:val="en-NZ"/>
              </w:rPr>
            </w:pPr>
            <w:r w:rsidRPr="00AE412F">
              <w:t>Required assessor or Industry subject matter expert experience</w:t>
            </w:r>
          </w:p>
        </w:tc>
      </w:tr>
      <w:tr w:rsidTr="00AE412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12F">
            <w:pPr>
              <w:pStyle w:val="BodyText"/>
              <w:rPr>
                <w:lang w:val="en-NZ"/>
              </w:rPr>
            </w:pPr>
            <w:r w:rsidRPr="00AE412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12F">
            <w:pPr>
              <w:pStyle w:val="BodyText"/>
              <w:rPr>
                <w:lang w:val="en-NZ"/>
              </w:rPr>
            </w:pPr>
            <w:r w:rsidRPr="00AE412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12F">
            <w:pPr>
              <w:pStyle w:val="BodyText"/>
              <w:rPr>
                <w:lang w:val="en-NZ"/>
              </w:rPr>
            </w:pPr>
            <w:r w:rsidRPr="00AE412F">
              <w:t>1 Year</w:t>
            </w:r>
          </w:p>
        </w:tc>
      </w:tr>
      <w:tr w:rsidTr="00AE412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12F">
            <w:pPr>
              <w:pStyle w:val="BodyText"/>
              <w:rPr>
                <w:lang w:val="en-NZ"/>
              </w:rPr>
            </w:pPr>
            <w:r w:rsidRPr="00AE412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12F">
            <w:pPr>
              <w:pStyle w:val="BodyText"/>
              <w:rPr>
                <w:lang w:val="en-NZ"/>
              </w:rPr>
            </w:pPr>
            <w:r w:rsidRPr="00AE412F">
              <w:t>2 Years</w:t>
            </w:r>
          </w:p>
        </w:tc>
      </w:tr>
      <w:tr w:rsidTr="00AE41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12F">
            <w:pPr>
              <w:pStyle w:val="BodyText"/>
              <w:rPr>
                <w:lang w:val="en-NZ"/>
              </w:rPr>
            </w:pPr>
            <w:r w:rsidRPr="00AE412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12F">
            <w:pPr>
              <w:pStyle w:val="BodyText"/>
              <w:rPr>
                <w:lang w:val="en-NZ"/>
              </w:rPr>
            </w:pPr>
            <w:r w:rsidRPr="00AE41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12F">
            <w:pPr>
              <w:pStyle w:val="BodyText"/>
              <w:rPr>
                <w:lang w:val="en-NZ"/>
              </w:rPr>
            </w:pPr>
            <w:r w:rsidRPr="00AE412F">
              <w:t>3 Years</w:t>
            </w:r>
          </w:p>
        </w:tc>
      </w:tr>
      <w:tr w:rsidTr="00AE41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12F">
            <w:pPr>
              <w:pStyle w:val="BodyText"/>
              <w:rPr>
                <w:lang w:val="en-NZ"/>
              </w:rPr>
            </w:pPr>
            <w:r w:rsidRPr="00AE412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12F">
            <w:pPr>
              <w:pStyle w:val="BodyText"/>
              <w:rPr>
                <w:lang w:val="en-NZ"/>
              </w:rPr>
            </w:pPr>
            <w:r w:rsidRPr="00AE412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12F">
            <w:pPr>
              <w:pStyle w:val="BodyText"/>
              <w:rPr>
                <w:lang w:val="en-NZ"/>
              </w:rPr>
            </w:pPr>
            <w:r w:rsidRPr="00AE412F">
              <w:t>5 Years</w:t>
            </w:r>
          </w:p>
        </w:tc>
      </w:tr>
      <w:tr w:rsidTr="00AE412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412F">
            <w:pPr>
              <w:pStyle w:val="BodyText"/>
              <w:rPr>
                <w:lang w:val="en-NZ"/>
              </w:rPr>
            </w:pPr>
            <w:r w:rsidRPr="00AE412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E412F" w:rsidP="00AE412F">
            <w:pPr>
              <w:pStyle w:val="BodyText"/>
            </w:pPr>
            <w:r w:rsidRPr="00AE412F">
              <w:t>Where this Unit is being assessed outside of the Resources and Infrastructure Sectors assessor and/or Industry subject matter expert experience should be in-line with industry standards for the sector in which it is being assessed and where no Industry sta</w:t>
            </w:r>
            <w:r w:rsidRPr="00AE412F">
              <w:t>ndard is specified should comply with any relevant regulation.</w:t>
            </w:r>
          </w:p>
        </w:tc>
      </w:tr>
    </w:tbl>
    <w:p w:rsidR="00000000" w:rsidRPr="00AE412F" w:rsidP="00B90D1F">
      <w:pPr>
        <w:pStyle w:val="BodyText"/>
      </w:pPr>
      <w:r w:rsidRPr="00AE412F">
        <w:t>*Assessors can demonstrate current work experience through employment within Industry in a role relevant to the outcomes of the Unit; or, for external assessors this can be demonstrated throu</w:t>
      </w:r>
      <w:r w:rsidRPr="00AE412F">
        <w:t>gh exposure to Industry by conducting frequent site assessments across various locations.</w:t>
      </w:r>
    </w:p>
    <w:p w:rsidR="00000000" w:rsidRPr="00AE412F" w:rsidP="00B90D1F">
      <w:pPr>
        <w:pStyle w:val="BodyText"/>
      </w:pPr>
      <w:r w:rsidRPr="00AE412F">
        <w:t>**Where a unit is being delivered outside of a Qualification the first numeric character in the Unit code should be considered to indicate the AQF level</w:t>
      </w:r>
    </w:p>
    <w:p w:rsidR="00000000" w:rsidRPr="00AE412F" w:rsidP="00AE412F">
      <w:pPr>
        <w:pStyle w:val="Heading1"/>
      </w:pPr>
      <w:bookmarkStart w:id="5" w:name="O_1070933"/>
      <w:bookmarkEnd w:id="5"/>
      <w:r w:rsidRPr="00AE412F">
        <w:t>Links</w:t>
      </w:r>
    </w:p>
    <w:p w:rsidR="00000000" w:rsidRPr="00AE412F" w:rsidP="00B90D1F">
      <w:pPr>
        <w:pStyle w:val="BodyText"/>
      </w:pPr>
      <w:r w:rsidRPr="00AE412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A428A">
        <w:rPr>
          <w:rStyle w:val="Hyperlink"/>
        </w:rPr>
        <w:t>https://vetnet.gov.au/Pages/TrainingDocs.aspx?q=88a61002-9a21-4386-aaf8-69c76e675272</w:t>
      </w:r>
      <w:r>
        <w:fldChar w:fldCharType="end"/>
      </w:r>
    </w:p>
    <w:p w:rsidR="00000000" w:rsidRPr="00AE412F" w:rsidP="00AE412F"/>
    <w:sectPr w:rsidSect="00AE41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2F" w:rsidRPr="00B90D1F" w:rsidP="00B90D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D1F" w:rsidP="00AE41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0D1F" w:rsidP="00AE412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B90D1F" w:rsidP="00AE41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D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412F" w:rsidRPr="00B90D1F" w:rsidP="00B90D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1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D1F" w:rsidRPr="002D2AF8" w:rsidP="00AE412F">
    <w:pPr>
      <w:pStyle w:val="Header"/>
      <w:framePr w:wrap="around"/>
    </w:pPr>
    <w:r>
      <w:fldChar w:fldCharType="begin"/>
    </w:r>
    <w:r>
      <w:instrText xml:space="preserve"> TITLE   \* MERGEFORMAT </w:instrText>
    </w:r>
    <w:r>
      <w:fldChar w:fldCharType="separate"/>
    </w:r>
    <w:r>
      <w:t>Assessment Requirements for RIIVEH203D Operate light vehicle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B90D1F" w:rsidP="00AE41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FA2E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1C2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66A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1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412F"/>
    <w:pPr>
      <w:spacing w:before="360" w:after="60"/>
      <w:outlineLvl w:val="0"/>
    </w:pPr>
    <w:rPr>
      <w:sz w:val="32"/>
    </w:rPr>
  </w:style>
  <w:style w:type="paragraph" w:styleId="Heading2">
    <w:name w:val="heading 2"/>
    <w:basedOn w:val="HeadingBase"/>
    <w:next w:val="BodyText"/>
    <w:link w:val="Heading2Char"/>
    <w:qFormat/>
    <w:rsid w:val="00AE412F"/>
    <w:pPr>
      <w:keepLines/>
      <w:spacing w:before="240" w:after="120"/>
      <w:outlineLvl w:val="1"/>
    </w:pPr>
    <w:rPr>
      <w:sz w:val="28"/>
      <w:szCs w:val="40"/>
    </w:rPr>
  </w:style>
  <w:style w:type="paragraph" w:styleId="Heading3">
    <w:name w:val="heading 3"/>
    <w:basedOn w:val="HeadingBase"/>
    <w:next w:val="BodyText"/>
    <w:link w:val="Heading3Char"/>
    <w:qFormat/>
    <w:rsid w:val="00AE412F"/>
    <w:pPr>
      <w:spacing w:before="180" w:after="120"/>
      <w:outlineLvl w:val="2"/>
    </w:pPr>
    <w:rPr>
      <w:spacing w:val="-10"/>
      <w:kern w:val="32"/>
    </w:rPr>
  </w:style>
  <w:style w:type="paragraph" w:styleId="Heading4">
    <w:name w:val="heading 4"/>
    <w:basedOn w:val="HeadingBase"/>
    <w:next w:val="BodyText"/>
    <w:link w:val="Heading4Char"/>
    <w:qFormat/>
    <w:rsid w:val="00AE412F"/>
    <w:pPr>
      <w:spacing w:before="160" w:after="120"/>
      <w:outlineLvl w:val="3"/>
    </w:pPr>
    <w:rPr>
      <w:sz w:val="22"/>
    </w:rPr>
  </w:style>
  <w:style w:type="paragraph" w:styleId="Heading5">
    <w:name w:val="heading 5"/>
    <w:basedOn w:val="HeadingBase"/>
    <w:next w:val="Normal"/>
    <w:link w:val="Heading5Char"/>
    <w:qFormat/>
    <w:rsid w:val="00AE412F"/>
    <w:pPr>
      <w:spacing w:before="80"/>
      <w:outlineLvl w:val="4"/>
    </w:pPr>
    <w:rPr>
      <w:color w:val="918585"/>
      <w:sz w:val="20"/>
    </w:rPr>
  </w:style>
  <w:style w:type="paragraph" w:styleId="Heading6">
    <w:name w:val="heading 6"/>
    <w:basedOn w:val="HeadingBase"/>
    <w:next w:val="Normal"/>
    <w:link w:val="Heading6Char"/>
    <w:qFormat/>
    <w:rsid w:val="00AE412F"/>
    <w:pPr>
      <w:spacing w:before="60"/>
      <w:outlineLvl w:val="5"/>
    </w:pPr>
    <w:rPr>
      <w:color w:val="918585"/>
      <w:sz w:val="20"/>
    </w:rPr>
  </w:style>
  <w:style w:type="paragraph" w:styleId="Heading7">
    <w:name w:val="heading 7"/>
    <w:basedOn w:val="Normal"/>
    <w:next w:val="Normal"/>
    <w:link w:val="Heading7Char"/>
    <w:qFormat/>
    <w:rsid w:val="00AE412F"/>
    <w:pPr>
      <w:ind w:left="720"/>
      <w:outlineLvl w:val="6"/>
    </w:pPr>
    <w:rPr>
      <w:i/>
    </w:rPr>
  </w:style>
  <w:style w:type="paragraph" w:styleId="Heading8">
    <w:name w:val="heading 8"/>
    <w:basedOn w:val="Normal"/>
    <w:next w:val="Normal"/>
    <w:link w:val="Heading8Char"/>
    <w:qFormat/>
    <w:rsid w:val="00AE412F"/>
    <w:pPr>
      <w:ind w:left="720"/>
      <w:outlineLvl w:val="7"/>
    </w:pPr>
    <w:rPr>
      <w:i/>
    </w:rPr>
  </w:style>
  <w:style w:type="paragraph" w:styleId="Heading9">
    <w:name w:val="heading 9"/>
    <w:basedOn w:val="Normal"/>
    <w:next w:val="Normal"/>
    <w:link w:val="Heading9Char"/>
    <w:qFormat/>
    <w:rsid w:val="00AE412F"/>
    <w:pPr>
      <w:ind w:left="720"/>
      <w:outlineLvl w:val="8"/>
    </w:pPr>
    <w:rPr>
      <w:i/>
    </w:rPr>
  </w:style>
  <w:style w:type="character" w:default="1" w:styleId="DefaultParagraphFont">
    <w:name w:val="Default Paragraph Font"/>
    <w:uiPriority w:val="1"/>
    <w:unhideWhenUsed/>
    <w:rsid w:val="00AE41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12F"/>
  </w:style>
  <w:style w:type="character" w:customStyle="1" w:styleId="Heading1Char">
    <w:name w:val="Heading 1 Char"/>
    <w:basedOn w:val="DefaultParagraphFont"/>
    <w:link w:val="Heading1"/>
    <w:rsid w:val="00AE412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E412F"/>
    <w:rPr>
      <w:rFonts w:ascii="Times New Roman" w:eastAsia="Times New Roman" w:hAnsi="Times New Roman" w:cs="Times New Roman"/>
      <w:b/>
      <w:szCs w:val="20"/>
      <w:lang w:eastAsia="en-US"/>
    </w:rPr>
  </w:style>
  <w:style w:type="paragraph" w:styleId="BodyText">
    <w:name w:val="Body Text"/>
    <w:basedOn w:val="Normal"/>
    <w:link w:val="BodyTextChar"/>
    <w:rsid w:val="00AE41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412F"/>
    <w:rPr>
      <w:rFonts w:ascii="Times New Roman" w:eastAsia="Times New Roman" w:hAnsi="Times New Roman" w:cs="Times New Roman"/>
      <w:sz w:val="24"/>
      <w:lang w:eastAsia="en-US"/>
    </w:rPr>
  </w:style>
  <w:style w:type="paragraph" w:styleId="ListBullet">
    <w:name w:val="List Bullet"/>
    <w:basedOn w:val="List"/>
    <w:rsid w:val="00AE412F"/>
    <w:pPr>
      <w:numPr>
        <w:numId w:val="12"/>
      </w:numPr>
      <w:tabs>
        <w:tab w:val="clear" w:pos="340"/>
      </w:tabs>
      <w:spacing w:before="40" w:after="40"/>
    </w:pPr>
  </w:style>
  <w:style w:type="paragraph" w:styleId="ListBullet2">
    <w:name w:val="List Bullet 2"/>
    <w:basedOn w:val="List2"/>
    <w:rsid w:val="00AE412F"/>
    <w:pPr>
      <w:numPr>
        <w:numId w:val="13"/>
      </w:numPr>
      <w:tabs>
        <w:tab w:val="clear" w:pos="680"/>
      </w:tabs>
    </w:pPr>
  </w:style>
  <w:style w:type="paragraph" w:customStyle="1" w:styleId="SuperHeading">
    <w:name w:val="SuperHeading"/>
    <w:basedOn w:val="Normal"/>
    <w:rsid w:val="00AE412F"/>
    <w:pPr>
      <w:spacing w:before="240" w:after="120"/>
      <w:outlineLvl w:val="0"/>
    </w:pPr>
    <w:rPr>
      <w:rFonts w:ascii="Times New Roman" w:hAnsi="Times New Roman"/>
      <w:b/>
      <w:sz w:val="32"/>
    </w:rPr>
  </w:style>
  <w:style w:type="paragraph" w:customStyle="1" w:styleId="AllowPageBreak">
    <w:name w:val="AllowPageBreak"/>
    <w:rsid w:val="00AE41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E412F"/>
    <w:pPr>
      <w:spacing w:before="240" w:after="60"/>
    </w:pPr>
    <w:rPr>
      <w:color w:val="918585"/>
      <w:sz w:val="22"/>
    </w:rPr>
  </w:style>
  <w:style w:type="character" w:customStyle="1" w:styleId="Heading2Char">
    <w:name w:val="Heading 2 Char"/>
    <w:basedOn w:val="DefaultParagraphFont"/>
    <w:link w:val="Heading2"/>
    <w:rsid w:val="00AE41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12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E41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1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1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41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412F"/>
    <w:rPr>
      <w:rFonts w:ascii="Courier New" w:eastAsia="Times New Roman" w:hAnsi="Courier New" w:cs="Times New Roman"/>
      <w:i/>
      <w:szCs w:val="20"/>
      <w:lang w:eastAsia="en-US"/>
    </w:rPr>
  </w:style>
  <w:style w:type="paragraph" w:customStyle="1" w:styleId="HeadingBase">
    <w:name w:val="Heading Base"/>
    <w:rsid w:val="00AE41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12F"/>
    <w:pPr>
      <w:tabs>
        <w:tab w:val="right" w:leader="dot" w:pos="9072"/>
      </w:tabs>
      <w:ind w:left="567"/>
    </w:pPr>
    <w:rPr>
      <w:szCs w:val="22"/>
    </w:rPr>
  </w:style>
  <w:style w:type="paragraph" w:customStyle="1" w:styleId="TOCBase">
    <w:name w:val="TOC Base"/>
    <w:rsid w:val="00AE41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12F"/>
    <w:pPr>
      <w:tabs>
        <w:tab w:val="right" w:leader="dot" w:pos="9072"/>
      </w:tabs>
      <w:spacing w:before="40" w:after="40"/>
      <w:ind w:left="284"/>
    </w:pPr>
    <w:rPr>
      <w:rFonts w:ascii="Times New Roman" w:hAnsi="Times New Roman"/>
    </w:rPr>
  </w:style>
  <w:style w:type="paragraph" w:styleId="TOC1">
    <w:name w:val="toc 1"/>
    <w:basedOn w:val="TOCBase"/>
    <w:next w:val="Normal"/>
    <w:rsid w:val="00AE41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41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12F"/>
    <w:rPr>
      <w:rFonts w:ascii="Times New Roman" w:eastAsia="Times New Roman" w:hAnsi="Times New Roman" w:cs="Times New Roman"/>
      <w:sz w:val="16"/>
      <w:lang w:eastAsia="en-US"/>
    </w:rPr>
  </w:style>
  <w:style w:type="paragraph" w:styleId="Title">
    <w:name w:val="Title"/>
    <w:basedOn w:val="HeadingBase"/>
    <w:link w:val="TitleChar"/>
    <w:qFormat/>
    <w:rsid w:val="00AE412F"/>
    <w:pPr>
      <w:spacing w:before="5040"/>
      <w:jc w:val="center"/>
    </w:pPr>
    <w:rPr>
      <w:sz w:val="48"/>
      <w:szCs w:val="72"/>
      <w:lang w:val="en-US"/>
    </w:rPr>
  </w:style>
  <w:style w:type="character" w:customStyle="1" w:styleId="TitleChar">
    <w:name w:val="Title Char"/>
    <w:basedOn w:val="DefaultParagraphFont"/>
    <w:link w:val="Title"/>
    <w:rsid w:val="00AE41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12F"/>
    <w:pPr>
      <w:tabs>
        <w:tab w:val="left" w:pos="3600"/>
        <w:tab w:val="left" w:pos="3958"/>
      </w:tabs>
    </w:pPr>
  </w:style>
  <w:style w:type="paragraph" w:styleId="List">
    <w:name w:val="List"/>
    <w:basedOn w:val="BodyText"/>
    <w:next w:val="BodyText"/>
    <w:rsid w:val="00AE412F"/>
    <w:pPr>
      <w:tabs>
        <w:tab w:val="left" w:pos="340"/>
      </w:tabs>
      <w:spacing w:before="60" w:after="60"/>
      <w:ind w:left="340" w:hanging="340"/>
    </w:pPr>
  </w:style>
  <w:style w:type="paragraph" w:customStyle="1" w:styleId="Note">
    <w:name w:val="Note"/>
    <w:basedOn w:val="BodyText"/>
    <w:rsid w:val="00AE41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412F"/>
    <w:rPr>
      <w:b/>
      <w:spacing w:val="0"/>
    </w:rPr>
  </w:style>
  <w:style w:type="paragraph" w:customStyle="1" w:styleId="SuperTitle">
    <w:name w:val="SuperTitle"/>
    <w:basedOn w:val="Title"/>
    <w:rsid w:val="00AE412F"/>
    <w:pPr>
      <w:framePr w:wrap="auto" w:hAnchor="text" w:y="6049"/>
    </w:pPr>
    <w:rPr>
      <w:color w:val="000000"/>
      <w:sz w:val="40"/>
    </w:rPr>
  </w:style>
  <w:style w:type="paragraph" w:customStyle="1" w:styleId="TOCTitle">
    <w:name w:val="TOCTitle"/>
    <w:basedOn w:val="Heading1"/>
    <w:rsid w:val="00AE412F"/>
    <w:pPr>
      <w:spacing w:after="240"/>
      <w:jc w:val="center"/>
      <w:outlineLvl w:val="9"/>
    </w:pPr>
    <w:rPr>
      <w:caps/>
    </w:rPr>
  </w:style>
  <w:style w:type="paragraph" w:customStyle="1" w:styleId="Version">
    <w:name w:val="Version"/>
    <w:rsid w:val="00AE41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412F"/>
    <w:pPr>
      <w:keepNext w:val="0"/>
      <w:tabs>
        <w:tab w:val="right" w:pos="4176"/>
      </w:tabs>
      <w:ind w:left="198" w:hanging="198"/>
    </w:pPr>
    <w:rPr>
      <w:rFonts w:ascii="Garamond" w:hAnsi="Garamond"/>
    </w:rPr>
  </w:style>
  <w:style w:type="paragraph" w:styleId="IndexHeading">
    <w:name w:val="index heading"/>
    <w:basedOn w:val="Normal"/>
    <w:next w:val="Index1"/>
    <w:semiHidden/>
    <w:rsid w:val="00AE412F"/>
    <w:pPr>
      <w:spacing w:before="120" w:after="120"/>
    </w:pPr>
    <w:rPr>
      <w:rFonts w:ascii="Arial" w:hAnsi="Arial"/>
      <w:b/>
      <w:color w:val="918585"/>
      <w:sz w:val="24"/>
    </w:rPr>
  </w:style>
  <w:style w:type="paragraph" w:styleId="Header">
    <w:name w:val="header"/>
    <w:basedOn w:val="Normal"/>
    <w:link w:val="HeaderChar"/>
    <w:rsid w:val="00AE41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12F"/>
    <w:rPr>
      <w:rFonts w:ascii="Times New Roman" w:eastAsia="Times New Roman" w:hAnsi="Times New Roman" w:cs="Times New Roman"/>
      <w:sz w:val="16"/>
      <w:szCs w:val="20"/>
      <w:lang w:val="en-GB" w:eastAsia="en-US"/>
    </w:rPr>
  </w:style>
  <w:style w:type="paragraph" w:customStyle="1" w:styleId="Chapter">
    <w:name w:val="Chapter"/>
    <w:basedOn w:val="Normal"/>
    <w:rsid w:val="00AE412F"/>
    <w:pPr>
      <w:spacing w:before="240"/>
    </w:pPr>
    <w:rPr>
      <w:rFonts w:ascii="Times New Roman" w:hAnsi="Times New Roman"/>
      <w:smallCaps/>
      <w:spacing w:val="80"/>
      <w:sz w:val="28"/>
    </w:rPr>
  </w:style>
  <w:style w:type="paragraph" w:customStyle="1" w:styleId="InChapter">
    <w:name w:val="InChapter"/>
    <w:basedOn w:val="Heading3"/>
    <w:rsid w:val="00AE412F"/>
    <w:pPr>
      <w:spacing w:after="240"/>
      <w:outlineLvl w:val="9"/>
    </w:pPr>
    <w:rPr>
      <w:noProof/>
    </w:rPr>
  </w:style>
  <w:style w:type="paragraph" w:styleId="Index2">
    <w:name w:val="index 2"/>
    <w:basedOn w:val="Normal"/>
    <w:next w:val="Normal"/>
    <w:semiHidden/>
    <w:rsid w:val="00AE412F"/>
    <w:pPr>
      <w:tabs>
        <w:tab w:val="right" w:pos="4176"/>
      </w:tabs>
      <w:ind w:left="568" w:hanging="284"/>
    </w:pPr>
    <w:rPr>
      <w:rFonts w:ascii="Garamond" w:hAnsi="Garamond"/>
    </w:rPr>
  </w:style>
  <w:style w:type="paragraph" w:customStyle="1" w:styleId="Byline">
    <w:name w:val="Byline"/>
    <w:rsid w:val="00AE41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12F"/>
    <w:pPr>
      <w:tabs>
        <w:tab w:val="clear" w:pos="3600"/>
        <w:tab w:val="clear" w:pos="3958"/>
      </w:tabs>
      <w:jc w:val="right"/>
    </w:pPr>
  </w:style>
  <w:style w:type="character" w:styleId="Emphasis">
    <w:name w:val="Emphasis"/>
    <w:basedOn w:val="DefaultParagraphFont"/>
    <w:qFormat/>
    <w:rsid w:val="00AE412F"/>
    <w:rPr>
      <w:i/>
    </w:rPr>
  </w:style>
  <w:style w:type="paragraph" w:styleId="Caption">
    <w:name w:val="caption"/>
    <w:basedOn w:val="BodyText"/>
    <w:next w:val="Normal"/>
    <w:qFormat/>
    <w:rsid w:val="00AE412F"/>
    <w:pPr>
      <w:framePr w:w="2268" w:hSpace="181" w:vSpace="181" w:wrap="around" w:vAnchor="text" w:hAnchor="page" w:x="1135" w:y="285" w:anchorLock="1"/>
    </w:pPr>
    <w:rPr>
      <w:i/>
    </w:rPr>
  </w:style>
  <w:style w:type="paragraph" w:customStyle="1" w:styleId="MiniTOCTitle">
    <w:name w:val="MiniTOCTitle"/>
    <w:basedOn w:val="Heading4"/>
    <w:rsid w:val="00AE412F"/>
    <w:pPr>
      <w:spacing w:before="240"/>
      <w:outlineLvl w:val="9"/>
    </w:pPr>
    <w:rPr>
      <w:noProof/>
      <w:sz w:val="24"/>
    </w:rPr>
  </w:style>
  <w:style w:type="paragraph" w:customStyle="1" w:styleId="MiniTOCItem">
    <w:name w:val="MiniTOCItem"/>
    <w:basedOn w:val="ListBullet"/>
    <w:rsid w:val="00AE412F"/>
    <w:pPr>
      <w:numPr>
        <w:numId w:val="0"/>
      </w:numPr>
      <w:tabs>
        <w:tab w:val="right" w:leader="dot" w:pos="6521"/>
      </w:tabs>
      <w:spacing w:before="0" w:after="0"/>
    </w:pPr>
  </w:style>
  <w:style w:type="paragraph" w:customStyle="1" w:styleId="TOFTitle">
    <w:name w:val="TOFTitle"/>
    <w:basedOn w:val="TOCTitle"/>
    <w:rsid w:val="00AE412F"/>
  </w:style>
  <w:style w:type="paragraph" w:styleId="TableofFigures">
    <w:name w:val="table of figures"/>
    <w:basedOn w:val="Normal"/>
    <w:next w:val="Normal"/>
    <w:semiHidden/>
    <w:rsid w:val="00AE412F"/>
    <w:pPr>
      <w:tabs>
        <w:tab w:val="right" w:leader="dot" w:pos="9072"/>
      </w:tabs>
      <w:ind w:left="970" w:hanging="403"/>
    </w:pPr>
    <w:rPr>
      <w:rFonts w:ascii="Times New Roman" w:hAnsi="Times New Roman"/>
      <w:b/>
    </w:rPr>
  </w:style>
  <w:style w:type="paragraph" w:styleId="ListNumber">
    <w:name w:val="List Number"/>
    <w:basedOn w:val="List"/>
    <w:rsid w:val="00AE412F"/>
    <w:pPr>
      <w:numPr>
        <w:numId w:val="15"/>
      </w:numPr>
      <w:tabs>
        <w:tab w:val="clear" w:pos="340"/>
      </w:tabs>
    </w:pPr>
  </w:style>
  <w:style w:type="character" w:customStyle="1" w:styleId="WingdingSymbols">
    <w:name w:val="Wingding Symbols"/>
    <w:rsid w:val="00AE412F"/>
    <w:rPr>
      <w:rFonts w:ascii="Wingdings" w:hAnsi="Wingdings"/>
    </w:rPr>
  </w:style>
  <w:style w:type="paragraph" w:customStyle="1" w:styleId="TableHeading">
    <w:name w:val="Table Heading"/>
    <w:basedOn w:val="HeadingBase"/>
    <w:rsid w:val="00AE412F"/>
    <w:pPr>
      <w:keepLines/>
      <w:pBdr>
        <w:bottom w:val="single" w:sz="6" w:space="1" w:color="918585"/>
      </w:pBdr>
      <w:spacing w:before="240"/>
    </w:pPr>
  </w:style>
  <w:style w:type="character" w:customStyle="1" w:styleId="HotSpot">
    <w:name w:val="HotSpot"/>
    <w:rsid w:val="00AE412F"/>
    <w:rPr>
      <w:color w:val="0033CC"/>
      <w:u w:val="none"/>
    </w:rPr>
  </w:style>
  <w:style w:type="paragraph" w:customStyle="1" w:styleId="BodyTextRight">
    <w:name w:val="Body Text Right"/>
    <w:basedOn w:val="BodyText"/>
    <w:rsid w:val="00AE412F"/>
    <w:pPr>
      <w:spacing w:before="0" w:after="0"/>
      <w:jc w:val="right"/>
    </w:pPr>
  </w:style>
  <w:style w:type="paragraph" w:styleId="Index3">
    <w:name w:val="index 3"/>
    <w:basedOn w:val="ListNumber2"/>
    <w:next w:val="Normal"/>
    <w:semiHidden/>
    <w:rsid w:val="00AE412F"/>
    <w:pPr>
      <w:numPr>
        <w:numId w:val="0"/>
      </w:numPr>
      <w:tabs>
        <w:tab w:val="right" w:leader="dot" w:pos="4176"/>
      </w:tabs>
    </w:pPr>
  </w:style>
  <w:style w:type="paragraph" w:styleId="ListNumber2">
    <w:name w:val="List Number 2"/>
    <w:basedOn w:val="List2"/>
    <w:rsid w:val="00AE412F"/>
    <w:pPr>
      <w:numPr>
        <w:numId w:val="10"/>
      </w:numPr>
      <w:tabs>
        <w:tab w:val="clear" w:pos="1060"/>
      </w:tabs>
    </w:pPr>
  </w:style>
  <w:style w:type="paragraph" w:customStyle="1" w:styleId="MarginNote">
    <w:name w:val="Margin Note"/>
    <w:basedOn w:val="BodyText"/>
    <w:rsid w:val="00AE41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1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1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412F"/>
    <w:rPr>
      <w:sz w:val="32"/>
    </w:rPr>
  </w:style>
  <w:style w:type="paragraph" w:customStyle="1" w:styleId="HeadingProcedure">
    <w:name w:val="Heading Procedure"/>
    <w:basedOn w:val="HeadingBase"/>
    <w:next w:val="Normal"/>
    <w:rsid w:val="00AE412F"/>
    <w:pPr>
      <w:tabs>
        <w:tab w:val="left" w:pos="0"/>
      </w:tabs>
      <w:spacing w:before="120" w:after="60"/>
    </w:pPr>
    <w:rPr>
      <w:i/>
      <w:color w:val="918585"/>
      <w:sz w:val="22"/>
    </w:rPr>
  </w:style>
  <w:style w:type="paragraph" w:customStyle="1" w:styleId="TableBodyText">
    <w:name w:val="Table Body Text"/>
    <w:basedOn w:val="BodyText"/>
    <w:rsid w:val="00AE412F"/>
    <w:pPr>
      <w:spacing w:before="60" w:after="60"/>
    </w:pPr>
  </w:style>
  <w:style w:type="paragraph" w:styleId="ListContinue">
    <w:name w:val="List Continue"/>
    <w:basedOn w:val="List"/>
    <w:rsid w:val="00AE412F"/>
    <w:pPr>
      <w:ind w:firstLine="0"/>
    </w:pPr>
  </w:style>
  <w:style w:type="paragraph" w:customStyle="1" w:styleId="ListNote">
    <w:name w:val="List Note"/>
    <w:basedOn w:val="List"/>
    <w:rsid w:val="00AE412F"/>
    <w:pPr>
      <w:pBdr>
        <w:top w:val="single" w:sz="6" w:space="2" w:color="918585"/>
        <w:bottom w:val="single" w:sz="6" w:space="2" w:color="918585"/>
      </w:pBdr>
      <w:tabs>
        <w:tab w:val="left" w:pos="1021"/>
      </w:tabs>
      <w:ind w:firstLine="0"/>
    </w:pPr>
  </w:style>
  <w:style w:type="paragraph" w:customStyle="1" w:styleId="Warning">
    <w:name w:val="Warning"/>
    <w:basedOn w:val="BodyText"/>
    <w:rsid w:val="00AE412F"/>
    <w:pPr>
      <w:shd w:val="clear" w:color="auto" w:fill="D9D9D9"/>
      <w:tabs>
        <w:tab w:val="left" w:pos="992"/>
      </w:tabs>
      <w:ind w:left="119" w:right="119"/>
    </w:pPr>
    <w:rPr>
      <w:sz w:val="20"/>
    </w:rPr>
  </w:style>
  <w:style w:type="paragraph" w:customStyle="1" w:styleId="MarginIcons">
    <w:name w:val="Margin Icons"/>
    <w:basedOn w:val="BodyText"/>
    <w:rsid w:val="00AE41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12F"/>
    <w:rPr>
      <w:rFonts w:ascii="Courier New" w:hAnsi="Courier New"/>
    </w:rPr>
  </w:style>
  <w:style w:type="paragraph" w:customStyle="1" w:styleId="NoteBullet">
    <w:name w:val="Note Bullet"/>
    <w:basedOn w:val="Note"/>
    <w:rsid w:val="00AE412F"/>
    <w:pPr>
      <w:tabs>
        <w:tab w:val="clear" w:pos="680"/>
      </w:tabs>
      <w:spacing w:before="60" w:after="60"/>
    </w:pPr>
  </w:style>
  <w:style w:type="paragraph" w:customStyle="1" w:styleId="SubHeading2">
    <w:name w:val="SubHeading2"/>
    <w:basedOn w:val="HeadingBase"/>
    <w:rsid w:val="00AE412F"/>
    <w:pPr>
      <w:spacing w:before="240" w:after="60"/>
    </w:pPr>
    <w:rPr>
      <w:sz w:val="20"/>
    </w:rPr>
  </w:style>
  <w:style w:type="paragraph" w:customStyle="1" w:styleId="SideHeading">
    <w:name w:val="Side Heading"/>
    <w:basedOn w:val="HeadingBase"/>
    <w:rsid w:val="00AE41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12F"/>
    <w:pPr>
      <w:tabs>
        <w:tab w:val="num" w:pos="360"/>
      </w:tabs>
    </w:pPr>
  </w:style>
  <w:style w:type="paragraph" w:styleId="PlainText">
    <w:name w:val="Plain Text"/>
    <w:basedOn w:val="Normal"/>
    <w:link w:val="PlainTextChar"/>
    <w:rsid w:val="00AE412F"/>
    <w:rPr>
      <w:sz w:val="20"/>
    </w:rPr>
  </w:style>
  <w:style w:type="character" w:customStyle="1" w:styleId="PlainTextChar">
    <w:name w:val="Plain Text Char"/>
    <w:basedOn w:val="DefaultParagraphFont"/>
    <w:link w:val="PlainText"/>
    <w:rsid w:val="00AE412F"/>
    <w:rPr>
      <w:rFonts w:ascii="Courier New" w:eastAsia="Times New Roman" w:hAnsi="Courier New" w:cs="Times New Roman"/>
      <w:sz w:val="20"/>
      <w:szCs w:val="20"/>
      <w:lang w:eastAsia="en-US"/>
    </w:rPr>
  </w:style>
  <w:style w:type="character" w:customStyle="1" w:styleId="MenuOption">
    <w:name w:val="Menu Option"/>
    <w:basedOn w:val="DefaultParagraphFont"/>
    <w:rsid w:val="00AE412F"/>
    <w:rPr>
      <w:b/>
      <w:smallCaps/>
    </w:rPr>
  </w:style>
  <w:style w:type="paragraph" w:customStyle="1" w:styleId="TableListNumber">
    <w:name w:val="Table List Number"/>
    <w:basedOn w:val="ListNumber"/>
    <w:rsid w:val="00AE412F"/>
    <w:pPr>
      <w:numPr>
        <w:numId w:val="0"/>
      </w:numPr>
    </w:pPr>
  </w:style>
  <w:style w:type="paragraph" w:styleId="TOC4">
    <w:name w:val="toc 4"/>
    <w:basedOn w:val="TOCBase"/>
    <w:next w:val="Normal"/>
    <w:semiHidden/>
    <w:rsid w:val="00AE412F"/>
    <w:pPr>
      <w:tabs>
        <w:tab w:val="right" w:leader="dot" w:pos="9071"/>
      </w:tabs>
      <w:ind w:left="1701"/>
    </w:pPr>
  </w:style>
  <w:style w:type="paragraph" w:customStyle="1" w:styleId="ListAlpha">
    <w:name w:val="List Alpha"/>
    <w:basedOn w:val="List"/>
    <w:rsid w:val="00AE412F"/>
    <w:pPr>
      <w:numPr>
        <w:numId w:val="9"/>
      </w:numPr>
    </w:pPr>
  </w:style>
  <w:style w:type="paragraph" w:customStyle="1" w:styleId="ListAlpha2">
    <w:name w:val="List Alpha 2"/>
    <w:basedOn w:val="List2"/>
    <w:rsid w:val="00AE412F"/>
    <w:pPr>
      <w:numPr>
        <w:numId w:val="8"/>
      </w:numPr>
    </w:pPr>
  </w:style>
  <w:style w:type="paragraph" w:styleId="List2">
    <w:name w:val="List 2"/>
    <w:basedOn w:val="BodyText"/>
    <w:rsid w:val="00AE412F"/>
    <w:pPr>
      <w:tabs>
        <w:tab w:val="left" w:pos="680"/>
      </w:tabs>
      <w:spacing w:before="60" w:after="60"/>
      <w:ind w:left="680" w:hanging="340"/>
    </w:pPr>
  </w:style>
  <w:style w:type="paragraph" w:styleId="List3">
    <w:name w:val="List 3"/>
    <w:basedOn w:val="BodyText"/>
    <w:rsid w:val="00AE412F"/>
    <w:pPr>
      <w:tabs>
        <w:tab w:val="left" w:pos="1021"/>
      </w:tabs>
      <w:spacing w:before="60" w:after="60"/>
      <w:ind w:left="1020" w:hanging="340"/>
    </w:pPr>
  </w:style>
  <w:style w:type="paragraph" w:styleId="List4">
    <w:name w:val="List 4"/>
    <w:basedOn w:val="BodyText"/>
    <w:rsid w:val="00AE412F"/>
    <w:pPr>
      <w:tabs>
        <w:tab w:val="left" w:pos="1361"/>
      </w:tabs>
      <w:spacing w:before="60" w:after="60"/>
      <w:ind w:left="1361" w:hanging="340"/>
    </w:pPr>
  </w:style>
  <w:style w:type="paragraph" w:styleId="List5">
    <w:name w:val="List 5"/>
    <w:basedOn w:val="BodyText"/>
    <w:rsid w:val="00AE412F"/>
    <w:pPr>
      <w:tabs>
        <w:tab w:val="left" w:pos="1701"/>
      </w:tabs>
      <w:spacing w:before="60" w:after="60"/>
      <w:ind w:left="1701" w:hanging="340"/>
    </w:pPr>
  </w:style>
  <w:style w:type="paragraph" w:styleId="ListBullet3">
    <w:name w:val="List Bullet 3"/>
    <w:basedOn w:val="List3"/>
    <w:rsid w:val="00AE412F"/>
    <w:pPr>
      <w:numPr>
        <w:numId w:val="14"/>
      </w:numPr>
      <w:tabs>
        <w:tab w:val="clear" w:pos="1021"/>
      </w:tabs>
      <w:ind w:left="1037" w:hanging="357"/>
    </w:pPr>
  </w:style>
  <w:style w:type="paragraph" w:styleId="ListBullet4">
    <w:name w:val="List Bullet 4"/>
    <w:basedOn w:val="List4"/>
    <w:rsid w:val="00AE412F"/>
    <w:pPr>
      <w:numPr>
        <w:numId w:val="3"/>
      </w:numPr>
      <w:tabs>
        <w:tab w:val="clear" w:pos="1361"/>
      </w:tabs>
    </w:pPr>
  </w:style>
  <w:style w:type="paragraph" w:styleId="ListBullet5">
    <w:name w:val="List Bullet 5"/>
    <w:basedOn w:val="List5"/>
    <w:rsid w:val="00AE412F"/>
    <w:pPr>
      <w:numPr>
        <w:numId w:val="4"/>
      </w:numPr>
    </w:pPr>
  </w:style>
  <w:style w:type="paragraph" w:styleId="ListContinue2">
    <w:name w:val="List Continue 2"/>
    <w:basedOn w:val="List2"/>
    <w:rsid w:val="00AE412F"/>
    <w:pPr>
      <w:ind w:firstLine="0"/>
    </w:pPr>
  </w:style>
  <w:style w:type="paragraph" w:styleId="ListContinue3">
    <w:name w:val="List Continue 3"/>
    <w:basedOn w:val="List3"/>
    <w:rsid w:val="00AE412F"/>
    <w:pPr>
      <w:ind w:left="1021" w:firstLine="0"/>
    </w:pPr>
  </w:style>
  <w:style w:type="paragraph" w:styleId="ListContinue4">
    <w:name w:val="List Continue 4"/>
    <w:basedOn w:val="List4"/>
    <w:rsid w:val="00AE412F"/>
    <w:pPr>
      <w:ind w:firstLine="0"/>
    </w:pPr>
  </w:style>
  <w:style w:type="paragraph" w:styleId="ListContinue5">
    <w:name w:val="List Continue 5"/>
    <w:basedOn w:val="List5"/>
    <w:rsid w:val="00AE412F"/>
    <w:pPr>
      <w:ind w:firstLine="0"/>
    </w:pPr>
  </w:style>
  <w:style w:type="paragraph" w:styleId="ListNumber3">
    <w:name w:val="List Number 3"/>
    <w:basedOn w:val="List3"/>
    <w:rsid w:val="00AE412F"/>
    <w:pPr>
      <w:numPr>
        <w:numId w:val="5"/>
      </w:numPr>
    </w:pPr>
  </w:style>
  <w:style w:type="paragraph" w:styleId="ListNumber4">
    <w:name w:val="List Number 4"/>
    <w:basedOn w:val="List4"/>
    <w:rsid w:val="00AE412F"/>
    <w:pPr>
      <w:numPr>
        <w:numId w:val="6"/>
      </w:numPr>
    </w:pPr>
  </w:style>
  <w:style w:type="paragraph" w:styleId="ListNumber5">
    <w:name w:val="List Number 5"/>
    <w:basedOn w:val="List5"/>
    <w:rsid w:val="00AE412F"/>
    <w:pPr>
      <w:numPr>
        <w:numId w:val="7"/>
      </w:numPr>
    </w:pPr>
  </w:style>
  <w:style w:type="paragraph" w:styleId="BlockText">
    <w:name w:val="Block Text"/>
    <w:basedOn w:val="Normal"/>
    <w:rsid w:val="00AE412F"/>
    <w:pPr>
      <w:spacing w:after="120"/>
      <w:ind w:left="1440" w:right="1440"/>
    </w:pPr>
  </w:style>
  <w:style w:type="character" w:customStyle="1" w:styleId="Subscript">
    <w:name w:val="Subscript"/>
    <w:basedOn w:val="DefaultParagraphFont"/>
    <w:rsid w:val="00AE412F"/>
    <w:rPr>
      <w:sz w:val="16"/>
      <w:vertAlign w:val="subscript"/>
    </w:rPr>
  </w:style>
  <w:style w:type="character" w:customStyle="1" w:styleId="Superscript">
    <w:name w:val="Superscript"/>
    <w:basedOn w:val="DefaultParagraphFont"/>
    <w:rsid w:val="00AE412F"/>
    <w:rPr>
      <w:sz w:val="16"/>
      <w:vertAlign w:val="superscript"/>
    </w:rPr>
  </w:style>
  <w:style w:type="character" w:customStyle="1" w:styleId="Symbols">
    <w:name w:val="Symbols"/>
    <w:basedOn w:val="DefaultParagraphFont"/>
    <w:rsid w:val="00AE412F"/>
    <w:rPr>
      <w:rFonts w:ascii="Symbol" w:hAnsi="Symbol"/>
    </w:rPr>
  </w:style>
  <w:style w:type="character" w:customStyle="1" w:styleId="MenuOptions">
    <w:name w:val="Menu Options"/>
    <w:basedOn w:val="DefaultParagraphFont"/>
    <w:rsid w:val="00AE412F"/>
    <w:rPr>
      <w:rFonts w:ascii="Arial Narrow" w:hAnsi="Arial Narrow"/>
      <w:smallCaps/>
    </w:rPr>
  </w:style>
  <w:style w:type="character" w:customStyle="1" w:styleId="Buttons">
    <w:name w:val="Buttons"/>
    <w:basedOn w:val="DefaultParagraphFont"/>
    <w:rsid w:val="00AE412F"/>
    <w:rPr>
      <w:b/>
    </w:rPr>
  </w:style>
  <w:style w:type="character" w:customStyle="1" w:styleId="Underlined">
    <w:name w:val="Underlined"/>
    <w:basedOn w:val="DefaultParagraphFont"/>
    <w:rsid w:val="00AE412F"/>
    <w:rPr>
      <w:u w:val="single"/>
    </w:rPr>
  </w:style>
  <w:style w:type="paragraph" w:customStyle="1" w:styleId="TableBodyTextRight">
    <w:name w:val="Table Body Text Right"/>
    <w:basedOn w:val="TableBodyText"/>
    <w:rsid w:val="00AE412F"/>
    <w:pPr>
      <w:widowControl w:val="0"/>
      <w:autoSpaceDE w:val="0"/>
      <w:autoSpaceDN w:val="0"/>
      <w:adjustRightInd w:val="0"/>
      <w:jc w:val="right"/>
    </w:pPr>
    <w:rPr>
      <w:rFonts w:cs="Arial"/>
      <w:szCs w:val="18"/>
    </w:rPr>
  </w:style>
  <w:style w:type="paragraph" w:customStyle="1" w:styleId="CopyrightText">
    <w:name w:val="Copyright Text"/>
    <w:basedOn w:val="BodyText"/>
    <w:rsid w:val="00AE412F"/>
    <w:rPr>
      <w:sz w:val="18"/>
    </w:rPr>
  </w:style>
  <w:style w:type="paragraph" w:customStyle="1" w:styleId="BodySmallRight">
    <w:name w:val="Body Small Right"/>
    <w:basedOn w:val="BodyTextRight"/>
    <w:rsid w:val="00AE412F"/>
    <w:rPr>
      <w:sz w:val="18"/>
      <w:szCs w:val="18"/>
    </w:rPr>
  </w:style>
  <w:style w:type="paragraph" w:customStyle="1" w:styleId="MarginEdition">
    <w:name w:val="Margin Edition"/>
    <w:basedOn w:val="MarginNote"/>
    <w:rsid w:val="00AE412F"/>
    <w:pPr>
      <w:spacing w:before="0" w:after="0"/>
    </w:pPr>
    <w:rPr>
      <w:rFonts w:ascii="Times New Roman" w:hAnsi="Times New Roman"/>
      <w:color w:val="999999"/>
    </w:rPr>
  </w:style>
  <w:style w:type="paragraph" w:customStyle="1" w:styleId="Spacer">
    <w:name w:val="Spacer"/>
    <w:basedOn w:val="Normal"/>
    <w:rsid w:val="00AE412F"/>
    <w:rPr>
      <w:sz w:val="2"/>
      <w:szCs w:val="2"/>
    </w:rPr>
  </w:style>
  <w:style w:type="character" w:customStyle="1" w:styleId="Small">
    <w:name w:val="Small"/>
    <w:basedOn w:val="DefaultParagraphFont"/>
    <w:rsid w:val="00AE412F"/>
    <w:rPr>
      <w:sz w:val="16"/>
    </w:rPr>
  </w:style>
  <w:style w:type="paragraph" w:customStyle="1" w:styleId="WideTable">
    <w:name w:val="Wide Table"/>
    <w:basedOn w:val="Normal"/>
    <w:rsid w:val="00AE412F"/>
    <w:pPr>
      <w:ind w:left="-1418"/>
    </w:pPr>
    <w:rPr>
      <w:sz w:val="2"/>
      <w:szCs w:val="2"/>
    </w:rPr>
  </w:style>
  <w:style w:type="character" w:styleId="PageNumber">
    <w:name w:val="page number"/>
    <w:basedOn w:val="DefaultParagraphFont"/>
    <w:rsid w:val="00AE412F"/>
  </w:style>
  <w:style w:type="paragraph" w:styleId="Quote">
    <w:name w:val="Quote"/>
    <w:basedOn w:val="Heading1"/>
    <w:link w:val="QuoteChar"/>
    <w:qFormat/>
    <w:rsid w:val="00AE412F"/>
    <w:rPr>
      <w:b w:val="0"/>
      <w:sz w:val="72"/>
      <w:szCs w:val="72"/>
      <w:lang w:val="en-NZ"/>
    </w:rPr>
  </w:style>
  <w:style w:type="character" w:customStyle="1" w:styleId="QuoteChar">
    <w:name w:val="Quote Char"/>
    <w:basedOn w:val="DefaultParagraphFont"/>
    <w:link w:val="Quote"/>
    <w:rsid w:val="00AE41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12F"/>
    <w:pPr>
      <w:pageBreakBefore/>
    </w:pPr>
  </w:style>
  <w:style w:type="paragraph" w:customStyle="1" w:styleId="Border">
    <w:name w:val="Border"/>
    <w:basedOn w:val="Normal"/>
    <w:qFormat/>
    <w:rsid w:val="00AE41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12F"/>
    <w:rPr>
      <w:b/>
      <w:bCs/>
      <w:i/>
      <w:iCs/>
      <w:color w:val="auto"/>
    </w:rPr>
  </w:style>
  <w:style w:type="paragraph" w:styleId="IntenseQuote">
    <w:name w:val="Intense Quote"/>
    <w:basedOn w:val="Normal"/>
    <w:next w:val="Normal"/>
    <w:link w:val="IntenseQuoteChar"/>
    <w:uiPriority w:val="30"/>
    <w:qFormat/>
    <w:rsid w:val="00AE41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1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412F"/>
    <w:rPr>
      <w:smallCaps/>
      <w:color w:val="auto"/>
      <w:u w:val="single"/>
    </w:rPr>
  </w:style>
  <w:style w:type="character" w:styleId="IntenseReference">
    <w:name w:val="Intense Reference"/>
    <w:basedOn w:val="DefaultParagraphFont"/>
    <w:uiPriority w:val="32"/>
    <w:qFormat/>
    <w:rsid w:val="00AE412F"/>
    <w:rPr>
      <w:b/>
      <w:bCs/>
      <w:smallCaps/>
      <w:color w:val="auto"/>
      <w:spacing w:val="5"/>
      <w:u w:val="single"/>
    </w:rPr>
  </w:style>
  <w:style w:type="paragraph" w:customStyle="1" w:styleId="2ColumnHeading">
    <w:name w:val="2Column Heading"/>
    <w:basedOn w:val="BodyText"/>
    <w:qFormat/>
    <w:rsid w:val="00AE412F"/>
    <w:pPr>
      <w:spacing w:after="60"/>
      <w:ind w:left="-2268"/>
    </w:pPr>
    <w:rPr>
      <w:b/>
    </w:rPr>
  </w:style>
  <w:style w:type="paragraph" w:customStyle="1" w:styleId="Heading1TOC">
    <w:name w:val="Heading1 TOC"/>
    <w:basedOn w:val="Normal"/>
    <w:qFormat/>
    <w:rsid w:val="00AE412F"/>
    <w:pPr>
      <w:spacing w:before="240" w:after="120"/>
    </w:pPr>
    <w:rPr>
      <w:rFonts w:ascii="Times New Roman" w:hAnsi="Times New Roman"/>
      <w:b/>
      <w:sz w:val="32"/>
    </w:rPr>
  </w:style>
  <w:style w:type="paragraph" w:customStyle="1" w:styleId="Heading2TOC">
    <w:name w:val="Heading2 TOC"/>
    <w:basedOn w:val="Normal"/>
    <w:qFormat/>
    <w:rsid w:val="00AE412F"/>
    <w:pPr>
      <w:spacing w:before="240" w:after="60"/>
    </w:pPr>
    <w:rPr>
      <w:rFonts w:ascii="Times New Roman" w:hAnsi="Times New Roman"/>
      <w:b/>
      <w:sz w:val="28"/>
    </w:rPr>
  </w:style>
  <w:style w:type="character" w:customStyle="1" w:styleId="Underline">
    <w:name w:val="Underline"/>
    <w:basedOn w:val="DefaultParagraphFont"/>
    <w:qFormat/>
    <w:rsid w:val="00AE412F"/>
    <w:rPr>
      <w:u w:val="single"/>
    </w:rPr>
  </w:style>
  <w:style w:type="character" w:customStyle="1" w:styleId="BoldandItalics">
    <w:name w:val="Bold and Italics"/>
    <w:qFormat/>
    <w:rsid w:val="00AE412F"/>
    <w:rPr>
      <w:b/>
      <w:i/>
      <w:u w:val="none"/>
    </w:rPr>
  </w:style>
  <w:style w:type="paragraph" w:styleId="BalloonText">
    <w:name w:val="Balloon Text"/>
    <w:basedOn w:val="Normal"/>
    <w:link w:val="BalloonTextChar"/>
    <w:rsid w:val="00AE412F"/>
    <w:rPr>
      <w:rFonts w:ascii="Tahoma" w:hAnsi="Tahoma" w:cs="Tahoma"/>
      <w:sz w:val="16"/>
      <w:szCs w:val="16"/>
    </w:rPr>
  </w:style>
  <w:style w:type="character" w:customStyle="1" w:styleId="BalloonTextChar">
    <w:name w:val="Balloon Text Char"/>
    <w:basedOn w:val="DefaultParagraphFont"/>
    <w:link w:val="BalloonText"/>
    <w:rsid w:val="00AE41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41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41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412F"/>
    <w:rPr>
      <w:b/>
      <w:color w:val="660033"/>
      <w:spacing w:val="0"/>
    </w:rPr>
  </w:style>
  <w:style w:type="paragraph" w:customStyle="1" w:styleId="Nameditemlist">
    <w:name w:val="Named item list"/>
    <w:basedOn w:val="BodyText"/>
    <w:qFormat/>
    <w:rsid w:val="00AE412F"/>
    <w:pPr>
      <w:tabs>
        <w:tab w:val="left" w:pos="2835"/>
      </w:tabs>
      <w:ind w:left="2835" w:hanging="2835"/>
    </w:pPr>
  </w:style>
  <w:style w:type="paragraph" w:customStyle="1" w:styleId="BodyTextnopadding">
    <w:name w:val="Body Text no padding"/>
    <w:basedOn w:val="BodyText"/>
    <w:qFormat/>
    <w:rsid w:val="00AE412F"/>
    <w:pPr>
      <w:spacing w:before="0" w:after="0"/>
    </w:pPr>
  </w:style>
  <w:style w:type="paragraph" w:customStyle="1" w:styleId="BodyTextBold">
    <w:name w:val="Body Text Bold"/>
    <w:basedOn w:val="BodyText"/>
    <w:qFormat/>
    <w:rsid w:val="00AE412F"/>
    <w:rPr>
      <w:b/>
    </w:rPr>
  </w:style>
  <w:style w:type="character" w:styleId="Hyperlink">
    <w:name w:val="Hyperlink"/>
    <w:basedOn w:val="DefaultParagraphFont"/>
    <w:uiPriority w:val="99"/>
    <w:unhideWhenUsed/>
    <w:rsid w:val="00B90D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4494</Characters>
  <Application>Microsoft Office Word</Application>
  <DocSecurity>0</DocSecurity>
  <Lines>121</Lines>
  <Paragraphs>77</Paragraphs>
  <ScaleCrop>false</ScaleCrop>
  <Company>Author-it Software Corporation Ltd.</Company>
  <LinksUpToDate>false</LinksUpToDate>
  <CharactersWithSpaces>5138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RIIVEH203D Operate light vehicle underground</dc:title>
  <dc:subject>Approved</dc:subject>
  <dc:creator>PwC’s Skills for Australia</dc:creator>
  <cp:keywords>Release: 4</cp:keywords>
  <dc:description>Review Date: 12 April 2008</dc:description>
  <cp:lastModifiedBy>HSD_TPCMSd.prod</cp:lastModifiedBy>
  <cp:revision>3</cp:revision>
  <dcterms:created xsi:type="dcterms:W3CDTF">2021-01-25T11:23:00Z</dcterms:created>
  <dcterms:modified xsi:type="dcterms:W3CDTF">2021-01-25T11:23:00Z</dcterms:modified>
</cp:coreProperties>
</file>