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59B" w:rsidP="00BD6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RIIVEH202D Operate a medium vehicle</w:t>
      </w:r>
      <w:r>
        <w:fldChar w:fldCharType="end"/>
      </w:r>
    </w:p>
    <w:p w:rsidR="00BD659B" w:rsidP="00BD659B">
      <w:pPr>
        <w:pStyle w:val="Version"/>
        <w:sectPr w:rsidSect="007A2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22A7" w:rsidP="007A22A7">
      <w:pPr>
        <w:pStyle w:val="SuperHeading"/>
      </w:pPr>
      <w:r w:rsidRPr="007A22A7">
        <w:t>Assessment Requirements for RIIVEH202D Operate a medium vehicle</w:t>
      </w:r>
    </w:p>
    <w:p w:rsidR="00000000" w:rsidRPr="007A22A7" w:rsidP="007A22A7">
      <w:pPr>
        <w:pStyle w:val="Heading1"/>
      </w:pPr>
      <w:bookmarkStart w:id="1" w:name="O_681109"/>
      <w:bookmarkEnd w:id="1"/>
      <w:r w:rsidRPr="007A22A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D65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A7">
            <w:pPr>
              <w:pStyle w:val="Heading4"/>
              <w:rPr>
                <w:lang w:val="en-NZ"/>
              </w:rPr>
            </w:pPr>
            <w:r w:rsidRPr="007A22A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A7">
            <w:pPr>
              <w:pStyle w:val="Heading4"/>
              <w:rPr>
                <w:lang w:val="en-NZ"/>
              </w:rPr>
            </w:pPr>
            <w:r w:rsidRPr="007A22A7">
              <w:t>Comment</w:t>
            </w:r>
          </w:p>
        </w:tc>
      </w:tr>
      <w:tr w:rsidTr="00BD65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This unit replaces RIIVEH202A Operate light vehicle</w:t>
            </w:r>
          </w:p>
        </w:tc>
      </w:tr>
      <w:tr w:rsidTr="00BD6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2A7" w:rsidP="007A22A7">
            <w:pPr>
              <w:pStyle w:val="BodyText"/>
            </w:pPr>
            <w:r w:rsidRPr="007A22A7">
              <w:t>Required frequency and volume of evidence amended in Performance evidence.</w:t>
            </w:r>
          </w:p>
          <w:p w:rsidR="00000000" w:rsidRPr="007A22A7" w:rsidP="007A22A7">
            <w:pPr>
              <w:pStyle w:val="BodyText"/>
            </w:pPr>
            <w:r w:rsidRPr="007A22A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A22A7" w:rsidP="007A22A7">
      <w:pPr>
        <w:pStyle w:val="BodyText"/>
      </w:pPr>
    </w:p>
    <w:p w:rsidR="00000000" w:rsidRPr="007A22A7" w:rsidP="007A22A7">
      <w:pPr>
        <w:pStyle w:val="AllowPageBreak"/>
      </w:pPr>
    </w:p>
    <w:p w:rsidR="00000000" w:rsidRPr="007A22A7" w:rsidP="007A22A7">
      <w:pPr>
        <w:pStyle w:val="Heading1"/>
      </w:pPr>
      <w:bookmarkStart w:id="2" w:name="O_681108"/>
      <w:bookmarkEnd w:id="2"/>
      <w:r w:rsidRPr="007A22A7">
        <w:t>Performance Evidence</w:t>
      </w:r>
    </w:p>
    <w:p w:rsidR="00000000" w:rsidRPr="007A22A7" w:rsidP="007A22A7">
      <w:pPr>
        <w:pStyle w:val="BodyText"/>
      </w:pPr>
      <w:r w:rsidRPr="007A22A7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7A22A7">
        <w:t>f this unit and include evidence that the candidate:</w:t>
      </w:r>
    </w:p>
    <w:p w:rsidR="00000000" w:rsidRPr="007A22A7" w:rsidP="007A22A7">
      <w:pPr>
        <w:pStyle w:val="ListBullet"/>
      </w:pPr>
      <w:r w:rsidRPr="007A22A7">
        <w:t>locates and applies relevant documentation, policies and procedures</w:t>
      </w:r>
    </w:p>
    <w:p w:rsidR="00000000" w:rsidRPr="007A22A7" w:rsidP="007A22A7">
      <w:pPr>
        <w:pStyle w:val="ListBullet"/>
      </w:pPr>
      <w:r w:rsidRPr="007A22A7">
        <w:t>demonstrates completion of operating medium vehicle that safely, effectively and efficiently meets all of the required outcomes on mor</w:t>
      </w:r>
      <w:r w:rsidRPr="007A22A7">
        <w:t>e than one (1) occasion including:</w:t>
      </w:r>
    </w:p>
    <w:p w:rsidR="00000000" w:rsidRPr="007A22A7" w:rsidP="007A22A7">
      <w:pPr>
        <w:pStyle w:val="ListBullet2"/>
      </w:pPr>
      <w:r w:rsidRPr="007A22A7">
        <w:t xml:space="preserve">organising work activities to comply with site standards </w:t>
      </w:r>
    </w:p>
    <w:p w:rsidR="00000000" w:rsidRPr="007A22A7" w:rsidP="007A22A7">
      <w:pPr>
        <w:pStyle w:val="ListBullet2"/>
      </w:pPr>
      <w:r w:rsidRPr="007A22A7">
        <w:t xml:space="preserve">carry out pre-start and start-up checks on medium vehicle and ancillary equipment </w:t>
      </w:r>
    </w:p>
    <w:p w:rsidR="00000000" w:rsidRPr="007A22A7" w:rsidP="007A22A7">
      <w:pPr>
        <w:pStyle w:val="ListBullet2"/>
      </w:pPr>
      <w:r w:rsidRPr="007A22A7">
        <w:t xml:space="preserve">operate, steer, manoeuvre and position vehicle and ancillary equipment </w:t>
      </w:r>
    </w:p>
    <w:p w:rsidR="00000000" w:rsidRPr="007A22A7" w:rsidP="007A22A7">
      <w:pPr>
        <w:pStyle w:val="ListBullet2"/>
      </w:pPr>
      <w:r w:rsidRPr="007A22A7">
        <w:t xml:space="preserve">carry out inspections and identify faults </w:t>
      </w:r>
    </w:p>
    <w:p w:rsidR="00000000" w:rsidRPr="007A22A7" w:rsidP="007A22A7">
      <w:pPr>
        <w:pStyle w:val="ListBullet2"/>
      </w:pPr>
      <w:r w:rsidRPr="007A22A7">
        <w:t>process written records and reports</w:t>
      </w:r>
    </w:p>
    <w:p w:rsidR="00000000" w:rsidRPr="007A22A7" w:rsidP="007A22A7">
      <w:pPr>
        <w:pStyle w:val="AllowPageBreak"/>
      </w:pPr>
    </w:p>
    <w:p w:rsidR="00000000" w:rsidRPr="007A22A7" w:rsidP="007A22A7">
      <w:pPr>
        <w:pStyle w:val="Heading1"/>
      </w:pPr>
      <w:bookmarkStart w:id="3" w:name="O_681107"/>
      <w:bookmarkEnd w:id="3"/>
      <w:r w:rsidRPr="007A22A7">
        <w:t>Knowledge Evidence</w:t>
      </w:r>
    </w:p>
    <w:p w:rsidR="00000000" w:rsidRPr="007A22A7" w:rsidP="007A22A7">
      <w:pPr>
        <w:pStyle w:val="BodyText"/>
      </w:pPr>
      <w:r w:rsidRPr="007A22A7">
        <w:t>The candidate must demonstrate knowledge of operating a medium vehicle through:</w:t>
      </w:r>
    </w:p>
    <w:p w:rsidR="00000000" w:rsidRPr="007A22A7" w:rsidP="007A22A7">
      <w:pPr>
        <w:pStyle w:val="ListBullet2"/>
      </w:pPr>
      <w:r w:rsidRPr="007A22A7">
        <w:t>accessing, interpreting and applying the organisation and si</w:t>
      </w:r>
      <w:r w:rsidRPr="007A22A7">
        <w:t xml:space="preserve">te requirements and procedures </w:t>
      </w:r>
    </w:p>
    <w:p w:rsidR="00000000" w:rsidRPr="007A22A7" w:rsidP="007A22A7">
      <w:pPr>
        <w:pStyle w:val="ListBullet2"/>
      </w:pPr>
      <w:r w:rsidRPr="007A22A7">
        <w:t>driving hazards and related defensive driving techniques</w:t>
      </w:r>
    </w:p>
    <w:p w:rsidR="00000000" w:rsidRPr="007A22A7" w:rsidP="007A22A7">
      <w:pPr>
        <w:pStyle w:val="ListBullet2"/>
      </w:pPr>
      <w:r w:rsidRPr="007A22A7">
        <w:t>equipment and trailer characteristics, technical capabilities and limitations</w:t>
      </w:r>
    </w:p>
    <w:p w:rsidR="00000000" w:rsidRPr="007A22A7" w:rsidP="007A22A7">
      <w:pPr>
        <w:pStyle w:val="ListBullet2"/>
      </w:pPr>
      <w:r w:rsidRPr="007A22A7">
        <w:t>fatigue management techniques</w:t>
      </w:r>
    </w:p>
    <w:p w:rsidR="00000000" w:rsidRPr="007A22A7" w:rsidP="007A22A7">
      <w:pPr>
        <w:pStyle w:val="ListBullet2"/>
      </w:pPr>
      <w:r w:rsidRPr="007A22A7">
        <w:t>medium vehicle maintenance requirements/procedures</w:t>
      </w:r>
    </w:p>
    <w:p w:rsidR="00000000" w:rsidRPr="007A22A7" w:rsidP="007A22A7">
      <w:pPr>
        <w:pStyle w:val="ListBullet2"/>
      </w:pPr>
      <w:r w:rsidRPr="007A22A7">
        <w:t>medium v</w:t>
      </w:r>
      <w:r w:rsidRPr="007A22A7">
        <w:t>ehicle refuelling procedures</w:t>
      </w:r>
    </w:p>
    <w:p w:rsidR="00000000" w:rsidRPr="007A22A7" w:rsidP="007A22A7">
      <w:pPr>
        <w:pStyle w:val="ListBullet2"/>
      </w:pPr>
      <w:r w:rsidRPr="007A22A7">
        <w:t>loading/offloading procedures</w:t>
      </w:r>
    </w:p>
    <w:p w:rsidR="00000000" w:rsidRPr="007A22A7" w:rsidP="007A22A7">
      <w:pPr>
        <w:pStyle w:val="ListBullet2"/>
      </w:pPr>
      <w:r w:rsidRPr="007A22A7">
        <w:t>map reading and road navigation techniques</w:t>
      </w:r>
    </w:p>
    <w:p w:rsidR="00000000" w:rsidRPr="007A22A7" w:rsidP="007A22A7">
      <w:pPr>
        <w:pStyle w:val="ListBullet2"/>
      </w:pPr>
      <w:r w:rsidRPr="007A22A7">
        <w:t>road rules, regulations, permit and license requirements of the relevant state/territory road traffic authority</w:t>
      </w:r>
    </w:p>
    <w:p w:rsidR="00000000" w:rsidRPr="007A22A7" w:rsidP="007A22A7">
      <w:pPr>
        <w:pStyle w:val="ListBullet2"/>
      </w:pPr>
      <w:r w:rsidRPr="007A22A7">
        <w:t xml:space="preserve">methods of securing loads </w:t>
      </w:r>
    </w:p>
    <w:p w:rsidR="00000000" w:rsidRPr="007A22A7" w:rsidP="007A22A7">
      <w:pPr>
        <w:pStyle w:val="ListBullet2"/>
      </w:pPr>
      <w:r w:rsidRPr="007A22A7">
        <w:t>differences bet</w:t>
      </w:r>
      <w:r w:rsidRPr="007A22A7">
        <w:t>ween transmission types</w:t>
      </w:r>
    </w:p>
    <w:p w:rsidR="00000000" w:rsidRPr="007A22A7" w:rsidP="007A22A7">
      <w:pPr>
        <w:pStyle w:val="ListBullet2"/>
      </w:pPr>
      <w:r w:rsidRPr="007A22A7">
        <w:t>principles of operation of air brakes and procedures for their use</w:t>
      </w:r>
    </w:p>
    <w:p w:rsidR="00000000" w:rsidRPr="007A22A7" w:rsidP="007A22A7">
      <w:pPr>
        <w:pStyle w:val="AllowPageBreak"/>
      </w:pPr>
    </w:p>
    <w:p w:rsidR="00000000" w:rsidRPr="007A22A7" w:rsidP="007A22A7">
      <w:pPr>
        <w:pStyle w:val="Heading1"/>
      </w:pPr>
      <w:bookmarkStart w:id="4" w:name="O_681106"/>
      <w:bookmarkEnd w:id="4"/>
      <w:r w:rsidRPr="007A22A7">
        <w:t>Assessment Conditions</w:t>
      </w:r>
    </w:p>
    <w:p w:rsidR="00000000" w:rsidRPr="007A22A7" w:rsidP="007A22A7">
      <w:pPr>
        <w:pStyle w:val="ListBullet"/>
      </w:pPr>
      <w:r w:rsidRPr="007A22A7">
        <w:t xml:space="preserve">An assessor of this unit must satisfy the requirements of the NVR/AQTF or their successors; </w:t>
      </w:r>
      <w:r w:rsidRPr="007A22A7">
        <w:t xml:space="preserve">and Industry regulations for certification and licensing; and, </w:t>
      </w:r>
    </w:p>
    <w:p w:rsidR="00000000" w:rsidRPr="007A22A7" w:rsidP="007A22A7">
      <w:pPr>
        <w:pStyle w:val="ListBullet"/>
      </w:pPr>
      <w:r w:rsidRPr="007A22A7">
        <w:t>this unit must be assessed in the context of this sector’s work environment; and,</w:t>
      </w:r>
    </w:p>
    <w:p w:rsidR="00000000" w:rsidRPr="007A22A7" w:rsidP="007A22A7">
      <w:pPr>
        <w:pStyle w:val="ListBullet"/>
      </w:pPr>
      <w:r w:rsidRPr="007A22A7">
        <w:t xml:space="preserve">this unit must be assessed in compliance with relevant legislation/regulation and using policies, procedures, </w:t>
      </w:r>
      <w:r w:rsidRPr="007A22A7">
        <w:t>processes and operational manuals directly related to the industry sector for which it is being assessed; and,</w:t>
      </w:r>
    </w:p>
    <w:p w:rsidR="00000000" w:rsidRPr="007A22A7" w:rsidP="007A22A7">
      <w:pPr>
        <w:pStyle w:val="ListBullet"/>
      </w:pPr>
      <w:r w:rsidRPr="007A22A7">
        <w:t>assessment may be conducted in conjunction with the assessment of other Units of Competency; and,</w:t>
      </w:r>
    </w:p>
    <w:p w:rsidR="00000000" w:rsidRPr="007A22A7" w:rsidP="007A22A7">
      <w:pPr>
        <w:pStyle w:val="ListBullet"/>
      </w:pPr>
      <w:r w:rsidRPr="007A22A7">
        <w:t xml:space="preserve">assessment must confirm consistent performance </w:t>
      </w:r>
      <w:r w:rsidRPr="007A22A7">
        <w:t>can be applied in a range of relevant workplace circumstances; and,</w:t>
      </w:r>
    </w:p>
    <w:p w:rsidR="00000000" w:rsidRPr="007A22A7" w:rsidP="007A22A7">
      <w:pPr>
        <w:pStyle w:val="ListBullet"/>
      </w:pPr>
      <w:r w:rsidRPr="007A22A7">
        <w:t>assessors must demonstrate the performance evidence, and knowledge evidence as outlined in this Unit of Competency, and through the minimum years of current* work experience specified belo</w:t>
      </w:r>
      <w:r w:rsidRPr="007A22A7">
        <w:t>w in an Industry sector relevant to the outcomes of the unit; or,</w:t>
      </w:r>
    </w:p>
    <w:p w:rsidR="00000000" w:rsidRPr="007A22A7" w:rsidP="007A22A7">
      <w:pPr>
        <w:pStyle w:val="ListBullet"/>
      </w:pPr>
      <w:r w:rsidRPr="007A22A7">
        <w:t>where the assessor does not meet experience requirements a co-assessment or partnership arrangement must exist between the qualified assessor and an Industry subject matter expert. The Indus</w:t>
      </w:r>
      <w:r w:rsidRPr="007A22A7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7A22A7">
        <w:t>f current work experience specified below in the Industry sector, including time spent in roles related to the unit being assessed; and,</w:t>
      </w:r>
    </w:p>
    <w:p w:rsidR="00000000" w:rsidRPr="007A22A7" w:rsidP="007A22A7">
      <w:pPr>
        <w:pStyle w:val="ListBullet"/>
      </w:pPr>
      <w:r w:rsidRPr="007A22A7">
        <w:t>assessor and Industry subject matter expert requirements differ depending on the Australian Qualifications Framework Le</w:t>
      </w:r>
      <w:r w:rsidRPr="007A22A7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A22A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SubHeading1"/>
              <w:rPr>
                <w:lang w:val="en-NZ"/>
              </w:rPr>
            </w:pPr>
            <w:r w:rsidRPr="007A22A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SubHeading1"/>
              <w:rPr>
                <w:lang w:val="en-NZ"/>
              </w:rPr>
            </w:pPr>
            <w:r w:rsidRPr="007A22A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SubHeading1"/>
              <w:rPr>
                <w:lang w:val="en-NZ"/>
              </w:rPr>
            </w:pPr>
            <w:r w:rsidRPr="007A22A7">
              <w:t>Required assessor or Industry subject matter expert experience</w:t>
            </w:r>
          </w:p>
        </w:tc>
      </w:tr>
      <w:tr w:rsidTr="007A22A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Drilling, Metalliferous Mining, Coal Mining, Extractive (Quarrying) and Civil Const</w:t>
            </w:r>
            <w:r w:rsidRPr="007A22A7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1 Year</w:t>
            </w:r>
          </w:p>
        </w:tc>
      </w:tr>
      <w:tr w:rsidTr="007A22A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2 Years</w:t>
            </w:r>
          </w:p>
        </w:tc>
      </w:tr>
      <w:tr w:rsidTr="007A22A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3 Years</w:t>
            </w:r>
          </w:p>
        </w:tc>
      </w:tr>
      <w:tr w:rsidTr="007A22A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5 Years</w:t>
            </w:r>
          </w:p>
        </w:tc>
      </w:tr>
      <w:tr w:rsidTr="007A22A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22A7">
            <w:pPr>
              <w:pStyle w:val="BodyText"/>
              <w:rPr>
                <w:lang w:val="en-NZ"/>
              </w:rPr>
            </w:pPr>
            <w:r w:rsidRPr="007A22A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22A7" w:rsidP="007A22A7">
            <w:pPr>
              <w:pStyle w:val="BodyText"/>
            </w:pPr>
            <w:r w:rsidRPr="007A22A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A22A7">
              <w:t>ndard is specified should comply with any relevant regulation.</w:t>
            </w:r>
          </w:p>
        </w:tc>
      </w:tr>
    </w:tbl>
    <w:p w:rsidR="00000000" w:rsidRPr="007A22A7" w:rsidP="007A22A7">
      <w:pPr>
        <w:pStyle w:val="BodyText"/>
      </w:pPr>
      <w:r w:rsidRPr="007A22A7">
        <w:t>*Assessors can demonstrate current work experience through employment within Industry in a role relevant to the outcomes of the Unit; or, for external assessors this can be demonstrated throu</w:t>
      </w:r>
      <w:r w:rsidRPr="007A22A7">
        <w:t>gh exposure to Industry by conducting frequent site assessments across various locations.</w:t>
      </w:r>
    </w:p>
    <w:p w:rsidR="00000000" w:rsidRPr="007A22A7" w:rsidP="007A22A7">
      <w:pPr>
        <w:pStyle w:val="BodyText"/>
      </w:pPr>
      <w:r w:rsidRPr="007A22A7">
        <w:t>**Where a unit is being delivered outside of a Qualification the first numeric character in the Unit code should be considered to indicate the AQF level</w:t>
      </w:r>
    </w:p>
    <w:p w:rsidR="00000000" w:rsidRPr="007A22A7" w:rsidP="007A22A7">
      <w:pPr>
        <w:pStyle w:val="AllowPageBreak"/>
      </w:pPr>
    </w:p>
    <w:p w:rsidR="00000000" w:rsidRPr="007A22A7" w:rsidP="007A22A7">
      <w:pPr>
        <w:pStyle w:val="Heading1"/>
      </w:pPr>
      <w:bookmarkStart w:id="5" w:name="O_681117"/>
      <w:bookmarkEnd w:id="5"/>
      <w:r w:rsidRPr="007A22A7">
        <w:t>Links</w:t>
      </w:r>
    </w:p>
    <w:p w:rsidR="00000000" w:rsidRPr="007A22A7" w:rsidP="007A22A7">
      <w:pPr>
        <w:pStyle w:val="BodyText"/>
      </w:pPr>
      <w:r w:rsidRPr="007A22A7">
        <w:t>SkillsDMC RII Companion Volumes - http://www.skillsdmc.com.au/</w:t>
      </w:r>
    </w:p>
    <w:p w:rsidR="00000000" w:rsidRPr="007A22A7" w:rsidP="007A22A7"/>
    <w:sectPr w:rsidSect="007A22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A7" w:rsidRPr="00BD659B" w:rsidP="00BD6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 w:rsidP="007A2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59B" w:rsidP="007A2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D659B" w:rsidP="007A2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A7" w:rsidRPr="00BD659B" w:rsidP="00BD65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 w:rsidRPr="002D2AF8" w:rsidP="007A2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RIIVEH202D Operate a medium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D659B" w:rsidP="007A2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9A5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549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D6A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2A7"/>
  </w:style>
  <w:style w:type="character" w:customStyle="1" w:styleId="Heading1Char">
    <w:name w:val="Heading 1 Char"/>
    <w:basedOn w:val="DefaultParagraphFont"/>
    <w:link w:val="Heading1"/>
    <w:rsid w:val="007A2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2A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A22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2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22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A22A7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7A2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2A7"/>
    <w:rPr>
      <w:b/>
      <w:spacing w:val="0"/>
    </w:rPr>
  </w:style>
  <w:style w:type="paragraph" w:customStyle="1" w:styleId="SuperTitle">
    <w:name w:val="SuperTitle"/>
    <w:basedOn w:val="Title"/>
    <w:rsid w:val="007A2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2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2A7"/>
    <w:rPr>
      <w:i/>
    </w:rPr>
  </w:style>
  <w:style w:type="paragraph" w:styleId="Caption">
    <w:name w:val="caption"/>
    <w:basedOn w:val="BodyText"/>
    <w:next w:val="Normal"/>
    <w:qFormat/>
    <w:rsid w:val="007A2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2A7"/>
  </w:style>
  <w:style w:type="paragraph" w:styleId="TableofFigures">
    <w:name w:val="table of figures"/>
    <w:basedOn w:val="Normal"/>
    <w:next w:val="Normal"/>
    <w:semiHidden/>
    <w:rsid w:val="007A2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2A7"/>
    <w:pPr>
      <w:numPr>
        <w:numId w:val="11"/>
      </w:numPr>
    </w:pPr>
  </w:style>
  <w:style w:type="character" w:customStyle="1" w:styleId="WingdingSymbols">
    <w:name w:val="Wingding Symbols"/>
    <w:rsid w:val="007A22A7"/>
    <w:rPr>
      <w:rFonts w:ascii="Wingdings" w:hAnsi="Wingdings"/>
    </w:rPr>
  </w:style>
  <w:style w:type="paragraph" w:customStyle="1" w:styleId="TableHeading">
    <w:name w:val="Table Heading"/>
    <w:basedOn w:val="HeadingBase"/>
    <w:rsid w:val="007A2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2A7"/>
    <w:rPr>
      <w:color w:val="0033CC"/>
      <w:u w:val="none"/>
    </w:rPr>
  </w:style>
  <w:style w:type="paragraph" w:customStyle="1" w:styleId="BodyTextRight">
    <w:name w:val="Body Text Right"/>
    <w:basedOn w:val="BodyText"/>
    <w:rsid w:val="007A2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2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2A7"/>
    <w:rPr>
      <w:sz w:val="32"/>
    </w:rPr>
  </w:style>
  <w:style w:type="paragraph" w:customStyle="1" w:styleId="HeadingProcedure">
    <w:name w:val="Heading Procedure"/>
    <w:basedOn w:val="HeadingBase"/>
    <w:next w:val="Normal"/>
    <w:rsid w:val="007A2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2A7"/>
    <w:pPr>
      <w:spacing w:before="60" w:after="60"/>
    </w:pPr>
  </w:style>
  <w:style w:type="paragraph" w:styleId="ListContinue">
    <w:name w:val="List Continue"/>
    <w:basedOn w:val="List"/>
    <w:rsid w:val="007A22A7"/>
    <w:pPr>
      <w:ind w:firstLine="0"/>
    </w:pPr>
  </w:style>
  <w:style w:type="paragraph" w:customStyle="1" w:styleId="ListNote">
    <w:name w:val="List Note"/>
    <w:basedOn w:val="List"/>
    <w:rsid w:val="007A2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2A7"/>
    <w:rPr>
      <w:rFonts w:ascii="Courier New" w:hAnsi="Courier New"/>
    </w:rPr>
  </w:style>
  <w:style w:type="paragraph" w:customStyle="1" w:styleId="NoteBullet">
    <w:name w:val="Note Bullet"/>
    <w:basedOn w:val="Note"/>
    <w:rsid w:val="007A2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2A7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A2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2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2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2A7"/>
    <w:rPr>
      <w:b/>
      <w:smallCaps/>
    </w:rPr>
  </w:style>
  <w:style w:type="paragraph" w:customStyle="1" w:styleId="TableListNumber">
    <w:name w:val="Table List Number"/>
    <w:basedOn w:val="ListNumber"/>
    <w:rsid w:val="007A2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2A7"/>
    <w:pPr>
      <w:numPr>
        <w:numId w:val="9"/>
      </w:numPr>
    </w:pPr>
  </w:style>
  <w:style w:type="paragraph" w:customStyle="1" w:styleId="ListAlpha2">
    <w:name w:val="List Alpha 2"/>
    <w:basedOn w:val="List2"/>
    <w:rsid w:val="007A22A7"/>
    <w:pPr>
      <w:numPr>
        <w:numId w:val="8"/>
      </w:numPr>
    </w:pPr>
  </w:style>
  <w:style w:type="paragraph" w:styleId="List2">
    <w:name w:val="List 2"/>
    <w:basedOn w:val="BodyText"/>
    <w:rsid w:val="007A2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2A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2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2A7"/>
    <w:pPr>
      <w:numPr>
        <w:numId w:val="4"/>
      </w:numPr>
    </w:pPr>
  </w:style>
  <w:style w:type="paragraph" w:styleId="ListContinue2">
    <w:name w:val="List Continue 2"/>
    <w:basedOn w:val="List2"/>
    <w:rsid w:val="007A22A7"/>
    <w:pPr>
      <w:ind w:firstLine="0"/>
    </w:pPr>
  </w:style>
  <w:style w:type="paragraph" w:styleId="ListContinue3">
    <w:name w:val="List Continue 3"/>
    <w:basedOn w:val="List3"/>
    <w:rsid w:val="007A22A7"/>
    <w:pPr>
      <w:ind w:left="1021" w:firstLine="0"/>
    </w:pPr>
  </w:style>
  <w:style w:type="paragraph" w:styleId="ListContinue4">
    <w:name w:val="List Continue 4"/>
    <w:basedOn w:val="List4"/>
    <w:rsid w:val="007A22A7"/>
    <w:pPr>
      <w:ind w:firstLine="0"/>
    </w:pPr>
  </w:style>
  <w:style w:type="paragraph" w:styleId="ListContinue5">
    <w:name w:val="List Continue 5"/>
    <w:basedOn w:val="List5"/>
    <w:rsid w:val="007A22A7"/>
    <w:pPr>
      <w:ind w:firstLine="0"/>
    </w:pPr>
  </w:style>
  <w:style w:type="paragraph" w:styleId="ListNumber3">
    <w:name w:val="List Number 3"/>
    <w:basedOn w:val="List3"/>
    <w:rsid w:val="007A22A7"/>
    <w:pPr>
      <w:numPr>
        <w:numId w:val="5"/>
      </w:numPr>
    </w:pPr>
  </w:style>
  <w:style w:type="paragraph" w:styleId="ListNumber4">
    <w:name w:val="List Number 4"/>
    <w:basedOn w:val="List4"/>
    <w:rsid w:val="007A22A7"/>
    <w:pPr>
      <w:numPr>
        <w:numId w:val="6"/>
      </w:numPr>
    </w:pPr>
  </w:style>
  <w:style w:type="paragraph" w:styleId="ListNumber5">
    <w:name w:val="List Number 5"/>
    <w:basedOn w:val="List5"/>
    <w:rsid w:val="007A22A7"/>
    <w:pPr>
      <w:numPr>
        <w:numId w:val="7"/>
      </w:numPr>
    </w:pPr>
  </w:style>
  <w:style w:type="paragraph" w:styleId="BlockText">
    <w:name w:val="Block Text"/>
    <w:basedOn w:val="Normal"/>
    <w:rsid w:val="007A2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2A7"/>
    <w:rPr>
      <w:sz w:val="16"/>
      <w:vertAlign w:val="superscript"/>
    </w:rPr>
  </w:style>
  <w:style w:type="character" w:customStyle="1" w:styleId="Symbols">
    <w:name w:val="Symbols"/>
    <w:basedOn w:val="DefaultParagraphFont"/>
    <w:rsid w:val="007A22A7"/>
    <w:rPr>
      <w:rFonts w:ascii="Symbol" w:hAnsi="Symbol"/>
    </w:rPr>
  </w:style>
  <w:style w:type="character" w:customStyle="1" w:styleId="MenuOptions">
    <w:name w:val="Menu Options"/>
    <w:basedOn w:val="DefaultParagraphFont"/>
    <w:rsid w:val="007A2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2A7"/>
    <w:rPr>
      <w:b/>
    </w:rPr>
  </w:style>
  <w:style w:type="character" w:customStyle="1" w:styleId="Underlined">
    <w:name w:val="Underlined"/>
    <w:basedOn w:val="DefaultParagraphFont"/>
    <w:rsid w:val="007A22A7"/>
    <w:rPr>
      <w:u w:val="single"/>
    </w:rPr>
  </w:style>
  <w:style w:type="paragraph" w:customStyle="1" w:styleId="TableBodyTextRight">
    <w:name w:val="Table Body Text Right"/>
    <w:basedOn w:val="TableBodyText"/>
    <w:rsid w:val="007A2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2A7"/>
    <w:rPr>
      <w:sz w:val="18"/>
    </w:rPr>
  </w:style>
  <w:style w:type="paragraph" w:customStyle="1" w:styleId="BodySmallRight">
    <w:name w:val="Body Small Right"/>
    <w:basedOn w:val="BodyTextRight"/>
    <w:rsid w:val="007A22A7"/>
    <w:rPr>
      <w:sz w:val="18"/>
      <w:szCs w:val="18"/>
    </w:rPr>
  </w:style>
  <w:style w:type="paragraph" w:customStyle="1" w:styleId="MarginEdition">
    <w:name w:val="Margin Edition"/>
    <w:basedOn w:val="MarginNote"/>
    <w:rsid w:val="007A2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2A7"/>
    <w:rPr>
      <w:sz w:val="2"/>
      <w:szCs w:val="2"/>
    </w:rPr>
  </w:style>
  <w:style w:type="character" w:customStyle="1" w:styleId="Small">
    <w:name w:val="Small"/>
    <w:basedOn w:val="DefaultParagraphFont"/>
    <w:rsid w:val="007A22A7"/>
    <w:rPr>
      <w:sz w:val="16"/>
    </w:rPr>
  </w:style>
  <w:style w:type="paragraph" w:customStyle="1" w:styleId="WideTable">
    <w:name w:val="Wide Table"/>
    <w:basedOn w:val="Normal"/>
    <w:rsid w:val="007A2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2A7"/>
  </w:style>
  <w:style w:type="paragraph" w:styleId="Quote">
    <w:name w:val="Quote"/>
    <w:basedOn w:val="Heading1"/>
    <w:link w:val="QuoteChar"/>
    <w:qFormat/>
    <w:rsid w:val="007A2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2A7"/>
    <w:pPr>
      <w:pageBreakBefore/>
    </w:pPr>
  </w:style>
  <w:style w:type="paragraph" w:customStyle="1" w:styleId="Border">
    <w:name w:val="Border"/>
    <w:basedOn w:val="Normal"/>
    <w:qFormat/>
    <w:rsid w:val="007A2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2A7"/>
    <w:rPr>
      <w:u w:val="single"/>
    </w:rPr>
  </w:style>
  <w:style w:type="character" w:customStyle="1" w:styleId="BoldandItalics">
    <w:name w:val="Bold and Italics"/>
    <w:qFormat/>
    <w:rsid w:val="007A22A7"/>
    <w:rPr>
      <w:b/>
      <w:i/>
      <w:u w:val="none"/>
    </w:rPr>
  </w:style>
  <w:style w:type="paragraph" w:styleId="BalloonText">
    <w:name w:val="Balloon Text"/>
    <w:basedOn w:val="Normal"/>
    <w:link w:val="BalloonTextChar"/>
    <w:rsid w:val="007A2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2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2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4337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RIIVEH202D Operate a medium vehicle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2014-12-07T03:04:00Z</dcterms:created>
  <dcterms:modified xsi:type="dcterms:W3CDTF">2014-12-07T03:04:00Z</dcterms:modified>
</cp:coreProperties>
</file>