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7EF" w:rsidP="00290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RIIUND602D Establish and maintain mine services systems</w:t>
      </w:r>
      <w:r>
        <w:fldChar w:fldCharType="end"/>
      </w:r>
    </w:p>
    <w:p w:rsidR="002907EF" w:rsidP="002907EF">
      <w:pPr>
        <w:pStyle w:val="Version"/>
        <w:sectPr w:rsidSect="00A62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2E7E" w:rsidP="00A62E7E">
      <w:pPr>
        <w:pStyle w:val="SuperHeading"/>
      </w:pPr>
      <w:r w:rsidRPr="00A62E7E">
        <w:t>Assessment Requirements for RIIUND602D Establish and maintain mine services systems</w:t>
      </w:r>
    </w:p>
    <w:p w:rsidR="00000000" w:rsidRPr="00A62E7E" w:rsidP="00A62E7E">
      <w:pPr>
        <w:pStyle w:val="Heading1"/>
      </w:pPr>
      <w:bookmarkStart w:id="1" w:name="O_681049"/>
      <w:bookmarkEnd w:id="1"/>
      <w:r w:rsidRPr="00A62E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907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7E">
            <w:pPr>
              <w:pStyle w:val="Heading4"/>
              <w:rPr>
                <w:lang w:val="en-NZ"/>
              </w:rPr>
            </w:pPr>
            <w:r w:rsidRPr="00A62E7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7E">
            <w:pPr>
              <w:pStyle w:val="Heading4"/>
              <w:rPr>
                <w:lang w:val="en-NZ"/>
              </w:rPr>
            </w:pPr>
            <w:r w:rsidRPr="00A62E7E">
              <w:t>Comment</w:t>
            </w:r>
          </w:p>
        </w:tc>
      </w:tr>
      <w:tr w:rsidTr="002907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This unit replaces RIIUND602A Establish and maintain mine services systems</w:t>
            </w:r>
          </w:p>
        </w:tc>
      </w:tr>
      <w:tr w:rsidTr="0029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7E" w:rsidP="00A62E7E">
            <w:pPr>
              <w:pStyle w:val="BodyText"/>
            </w:pPr>
            <w:r w:rsidRPr="00A62E7E">
              <w:t>Required frequency and volume of evidence amended in Performance evidence.</w:t>
            </w:r>
          </w:p>
          <w:p w:rsidR="00000000" w:rsidRPr="00A62E7E" w:rsidP="00A62E7E">
            <w:pPr>
              <w:pStyle w:val="BodyText"/>
            </w:pPr>
            <w:r w:rsidRPr="00A62E7E">
              <w:t>Substantial amendments made in Assessment Conditions field, including: references to Industry Sectors, assessor and subject matter expert experience requirements, how assessment sho</w:t>
            </w:r>
            <w:r w:rsidRPr="00A62E7E">
              <w:t>uld be conducted and what it should confirm.</w:t>
            </w:r>
          </w:p>
        </w:tc>
      </w:tr>
    </w:tbl>
    <w:p w:rsidR="00000000" w:rsidRPr="00A62E7E" w:rsidP="00A62E7E">
      <w:pPr>
        <w:pStyle w:val="BodyText"/>
      </w:pPr>
    </w:p>
    <w:p w:rsidR="00000000" w:rsidRPr="00A62E7E" w:rsidP="00A62E7E">
      <w:pPr>
        <w:pStyle w:val="AllowPageBreak"/>
      </w:pPr>
    </w:p>
    <w:p w:rsidR="00000000" w:rsidRPr="00A62E7E" w:rsidP="00A62E7E">
      <w:pPr>
        <w:pStyle w:val="Heading1"/>
      </w:pPr>
      <w:bookmarkStart w:id="2" w:name="O_681048"/>
      <w:bookmarkEnd w:id="2"/>
      <w:r w:rsidRPr="00A62E7E">
        <w:t>Performance Evidence</w:t>
      </w:r>
    </w:p>
    <w:p w:rsidR="00000000" w:rsidRPr="00A62E7E" w:rsidP="002907EF">
      <w:pPr>
        <w:pStyle w:val="BodyText"/>
      </w:pPr>
      <w:r w:rsidRPr="00A62E7E">
        <w:t>Evidence is required to be collected that demonstrates a candidate’s competency in this unit. Evidence must be relevant to the roles within this sector’</w:t>
      </w:r>
      <w:r w:rsidRPr="00A62E7E">
        <w:t>s work operations and satisfy all of the requirements of the performance criteria of this unit and include evidence that the candidate:</w:t>
      </w:r>
    </w:p>
    <w:p w:rsidR="00000000" w:rsidRPr="00A62E7E" w:rsidP="00A62E7E">
      <w:pPr>
        <w:pStyle w:val="ListBullet"/>
      </w:pPr>
      <w:r w:rsidRPr="00A62E7E">
        <w:t>locates and applies relevant legislation, documentation, policies and procedures</w:t>
      </w:r>
    </w:p>
    <w:p w:rsidR="00000000" w:rsidRPr="00A62E7E" w:rsidP="00A62E7E">
      <w:pPr>
        <w:pStyle w:val="ListBullet"/>
      </w:pPr>
      <w:r w:rsidRPr="00A62E7E">
        <w:t>implements the requirements, procedure</w:t>
      </w:r>
      <w:r w:rsidRPr="00A62E7E">
        <w:t>s and techniques for the safe, effective and efficient establishment and maintenance of mine services systems including:</w:t>
      </w:r>
    </w:p>
    <w:p w:rsidR="00000000" w:rsidRPr="00A62E7E" w:rsidP="00A62E7E">
      <w:pPr>
        <w:pStyle w:val="ListBullet2"/>
      </w:pPr>
      <w:r w:rsidRPr="00A62E7E">
        <w:t>applying the principles of mine design</w:t>
      </w:r>
    </w:p>
    <w:p w:rsidR="00000000" w:rsidRPr="00A62E7E" w:rsidP="00A62E7E">
      <w:pPr>
        <w:pStyle w:val="ListBullet2"/>
      </w:pPr>
      <w:r w:rsidRPr="00A62E7E">
        <w:t>assessing the risks and consequences relevant to mine services systems and equipment</w:t>
      </w:r>
    </w:p>
    <w:p w:rsidR="00000000" w:rsidRPr="00A62E7E" w:rsidP="00A62E7E">
      <w:pPr>
        <w:pStyle w:val="ListBullet2"/>
      </w:pPr>
      <w:r w:rsidRPr="00A62E7E">
        <w:t xml:space="preserve">identifying training needs </w:t>
      </w:r>
    </w:p>
    <w:p w:rsidR="00000000" w:rsidRPr="00A62E7E" w:rsidP="00A62E7E">
      <w:pPr>
        <w:pStyle w:val="ListBullet2"/>
      </w:pPr>
      <w:r w:rsidRPr="00A62E7E">
        <w:t>interpreting and applying manufacturer’s instructions</w:t>
      </w:r>
    </w:p>
    <w:p w:rsidR="00000000" w:rsidRPr="00A62E7E" w:rsidP="00A62E7E">
      <w:pPr>
        <w:pStyle w:val="ListBullet"/>
      </w:pPr>
      <w:r w:rsidRPr="00A62E7E">
        <w:t>demonstrates completion of the establishment and maintenance of mine services systems that safely, effectively and efficiently meets all of the required outcomes on more tha</w:t>
      </w:r>
      <w:r w:rsidRPr="00A62E7E">
        <w:t>n one (1) occasion including:</w:t>
      </w:r>
    </w:p>
    <w:p w:rsidR="00000000" w:rsidRPr="00A62E7E" w:rsidP="00A62E7E">
      <w:pPr>
        <w:pStyle w:val="ListBullet2"/>
      </w:pPr>
      <w:r w:rsidRPr="00A62E7E">
        <w:t>developing and establishing installation and commissioning procedures</w:t>
      </w:r>
    </w:p>
    <w:p w:rsidR="00000000" w:rsidRPr="00A62E7E" w:rsidP="00A62E7E">
      <w:pPr>
        <w:pStyle w:val="ListBullet2"/>
      </w:pPr>
      <w:r w:rsidRPr="00A62E7E">
        <w:t>developing and establishing procedures to maintain mine service systems and equipment</w:t>
      </w:r>
    </w:p>
    <w:p w:rsidR="00000000" w:rsidRPr="00A62E7E" w:rsidP="00A62E7E">
      <w:pPr>
        <w:pStyle w:val="ListBullet2"/>
      </w:pPr>
      <w:r w:rsidRPr="00A62E7E">
        <w:t>establishing, implementing and auditing systems and procedures</w:t>
      </w:r>
    </w:p>
    <w:p w:rsidR="00000000" w:rsidRPr="00A62E7E" w:rsidP="00A62E7E">
      <w:pPr>
        <w:pStyle w:val="ListBullet2"/>
      </w:pPr>
      <w:r w:rsidRPr="00A62E7E">
        <w:t>review</w:t>
      </w:r>
      <w:r w:rsidRPr="00A62E7E">
        <w:t>ing work processes and modify to improve effectiveness and efficiency</w:t>
      </w:r>
    </w:p>
    <w:p w:rsidR="00000000" w:rsidRPr="00A62E7E" w:rsidP="00A62E7E">
      <w:pPr>
        <w:pStyle w:val="ListBullet2"/>
      </w:pPr>
      <w:r w:rsidRPr="00A62E7E">
        <w:t xml:space="preserve">establish audit and reporting procedures </w:t>
      </w:r>
    </w:p>
    <w:p w:rsidR="00000000" w:rsidRPr="00A62E7E" w:rsidP="00A62E7E">
      <w:pPr>
        <w:pStyle w:val="ListBullet2"/>
      </w:pPr>
      <w:r w:rsidRPr="00A62E7E">
        <w:t>establishing procedures for noncompliance, discrepancies or deficiencies</w:t>
      </w:r>
    </w:p>
    <w:p w:rsidR="00000000" w:rsidRPr="00A62E7E" w:rsidP="00A62E7E">
      <w:pPr>
        <w:pStyle w:val="ListBullet2"/>
      </w:pPr>
      <w:r w:rsidRPr="00A62E7E">
        <w:t>auditing mine service systems and equipment</w:t>
      </w:r>
    </w:p>
    <w:p w:rsidR="00000000" w:rsidRPr="00A62E7E" w:rsidP="00A62E7E">
      <w:pPr>
        <w:pStyle w:val="AllowPageBreak"/>
      </w:pPr>
    </w:p>
    <w:p w:rsidR="00000000" w:rsidRPr="00A62E7E" w:rsidP="00A62E7E">
      <w:pPr>
        <w:pStyle w:val="Heading1"/>
      </w:pPr>
      <w:bookmarkStart w:id="3" w:name="O_681047"/>
      <w:bookmarkEnd w:id="3"/>
      <w:r w:rsidRPr="00A62E7E">
        <w:t xml:space="preserve">Knowledge </w:t>
      </w:r>
      <w:r w:rsidRPr="00A62E7E">
        <w:t>Evidence</w:t>
      </w:r>
    </w:p>
    <w:p w:rsidR="00000000" w:rsidRPr="00A62E7E" w:rsidP="002907EF">
      <w:pPr>
        <w:pStyle w:val="BodyText"/>
      </w:pPr>
      <w:r w:rsidRPr="00A62E7E">
        <w:t>The candidate must demonstrate knowledge in establishing and maintaining mine services systems through:</w:t>
      </w:r>
    </w:p>
    <w:p w:rsidR="00000000" w:rsidRPr="00A62E7E" w:rsidP="00A62E7E">
      <w:pPr>
        <w:pStyle w:val="ListBullet"/>
      </w:pPr>
      <w:r w:rsidRPr="00A62E7E">
        <w:t>accessing, interpreting and applying legislative, organisation and site requirements and procedures for:</w:t>
      </w:r>
    </w:p>
    <w:p w:rsidR="00000000" w:rsidRPr="00A62E7E" w:rsidP="00A62E7E">
      <w:pPr>
        <w:pStyle w:val="ListBullet2"/>
      </w:pPr>
      <w:r w:rsidRPr="00A62E7E">
        <w:t>audit reviews</w:t>
      </w:r>
    </w:p>
    <w:p w:rsidR="00000000" w:rsidRPr="00A62E7E" w:rsidP="00A62E7E">
      <w:pPr>
        <w:pStyle w:val="ListBullet2"/>
      </w:pPr>
      <w:r w:rsidRPr="00A62E7E">
        <w:t>emergency response and disaster planning</w:t>
      </w:r>
    </w:p>
    <w:p w:rsidR="00000000" w:rsidRPr="00A62E7E" w:rsidP="00A62E7E">
      <w:pPr>
        <w:pStyle w:val="ListBullet2"/>
      </w:pPr>
      <w:r w:rsidRPr="00A62E7E">
        <w:t>mine plans</w:t>
      </w:r>
    </w:p>
    <w:p w:rsidR="00000000" w:rsidRPr="00A62E7E" w:rsidP="00A62E7E">
      <w:pPr>
        <w:pStyle w:val="ListBullet2"/>
      </w:pPr>
      <w:r w:rsidRPr="00A62E7E">
        <w:t>electrical distribution</w:t>
      </w:r>
    </w:p>
    <w:p w:rsidR="00000000" w:rsidRPr="00A62E7E" w:rsidP="00A62E7E">
      <w:pPr>
        <w:pStyle w:val="ListBullet2"/>
      </w:pPr>
      <w:r w:rsidRPr="00A62E7E">
        <w:t>ventilation</w:t>
      </w:r>
    </w:p>
    <w:p w:rsidR="00000000" w:rsidRPr="00A62E7E" w:rsidP="00A62E7E">
      <w:pPr>
        <w:pStyle w:val="ListBullet2"/>
      </w:pPr>
      <w:r w:rsidRPr="00A62E7E">
        <w:t>compressed air</w:t>
      </w:r>
    </w:p>
    <w:p w:rsidR="00000000" w:rsidRPr="00A62E7E" w:rsidP="00A62E7E">
      <w:pPr>
        <w:pStyle w:val="ListBullet2"/>
      </w:pPr>
      <w:r w:rsidRPr="00A62E7E">
        <w:t>electrical/mechanical equipment</w:t>
      </w:r>
    </w:p>
    <w:p w:rsidR="00000000" w:rsidRPr="00A62E7E" w:rsidP="00A62E7E">
      <w:pPr>
        <w:pStyle w:val="ListBullet2"/>
      </w:pPr>
      <w:r w:rsidRPr="00A62E7E">
        <w:t>inspections</w:t>
      </w:r>
    </w:p>
    <w:p w:rsidR="00000000" w:rsidRPr="00A62E7E" w:rsidP="00A62E7E">
      <w:pPr>
        <w:pStyle w:val="ListBullet2"/>
      </w:pPr>
      <w:r w:rsidRPr="00A62E7E">
        <w:t>environmental management</w:t>
      </w:r>
    </w:p>
    <w:p w:rsidR="00000000" w:rsidRPr="00A62E7E" w:rsidP="00A62E7E">
      <w:pPr>
        <w:pStyle w:val="ListBullet2"/>
      </w:pPr>
      <w:r w:rsidRPr="00A62E7E">
        <w:t>communications</w:t>
      </w:r>
    </w:p>
    <w:p w:rsidR="00000000" w:rsidRPr="00A62E7E" w:rsidP="00A62E7E">
      <w:pPr>
        <w:pStyle w:val="ListBullet2"/>
      </w:pPr>
      <w:r w:rsidRPr="00A62E7E">
        <w:t>emergency situations</w:t>
      </w:r>
    </w:p>
    <w:p w:rsidR="00000000" w:rsidRPr="00A62E7E" w:rsidP="00A62E7E">
      <w:pPr>
        <w:pStyle w:val="ListBullet2"/>
      </w:pPr>
      <w:r w:rsidRPr="00A62E7E">
        <w:t>risk management</w:t>
      </w:r>
    </w:p>
    <w:p w:rsidR="00000000" w:rsidRPr="00A62E7E" w:rsidP="00A62E7E">
      <w:pPr>
        <w:pStyle w:val="ListBullet2"/>
      </w:pPr>
      <w:r w:rsidRPr="00A62E7E">
        <w:t>recording and reporting</w:t>
      </w:r>
    </w:p>
    <w:p w:rsidR="00000000" w:rsidRPr="00A62E7E" w:rsidP="00A62E7E">
      <w:pPr>
        <w:pStyle w:val="ListBullet2"/>
      </w:pPr>
      <w:r w:rsidRPr="00A62E7E">
        <w:t>mines re</w:t>
      </w:r>
      <w:r w:rsidRPr="00A62E7E">
        <w:t>scue</w:t>
      </w:r>
    </w:p>
    <w:p w:rsidR="00000000" w:rsidRPr="00A62E7E" w:rsidP="00A62E7E">
      <w:pPr>
        <w:pStyle w:val="ListBullet2"/>
      </w:pPr>
      <w:r w:rsidRPr="00A62E7E">
        <w:t>work health and safety</w:t>
      </w:r>
    </w:p>
    <w:p w:rsidR="00000000" w:rsidRPr="00A62E7E" w:rsidP="00A62E7E">
      <w:pPr>
        <w:pStyle w:val="ListBullet2"/>
      </w:pPr>
      <w:r w:rsidRPr="00A62E7E">
        <w:t>manufacturer’s instructions</w:t>
      </w:r>
    </w:p>
    <w:p w:rsidR="00000000" w:rsidRPr="00A62E7E" w:rsidP="00A62E7E">
      <w:pPr>
        <w:pStyle w:val="ListBullet2"/>
      </w:pPr>
      <w:r w:rsidRPr="00A62E7E">
        <w:t>standard work procedures</w:t>
      </w:r>
    </w:p>
    <w:p w:rsidR="00000000" w:rsidRPr="00A62E7E" w:rsidP="00A62E7E">
      <w:pPr>
        <w:pStyle w:val="ListBullet2"/>
      </w:pPr>
      <w:r w:rsidRPr="00A62E7E">
        <w:t xml:space="preserve">training </w:t>
      </w:r>
    </w:p>
    <w:p w:rsidR="00000000" w:rsidRPr="00A62E7E" w:rsidP="00A62E7E">
      <w:pPr>
        <w:pStyle w:val="ListBullet2"/>
      </w:pPr>
      <w:r w:rsidRPr="00A62E7E">
        <w:t>maintenance surveys</w:t>
      </w:r>
    </w:p>
    <w:p w:rsidR="00000000" w:rsidRPr="00A62E7E" w:rsidP="00A62E7E">
      <w:pPr>
        <w:pStyle w:val="ListBullet2"/>
      </w:pPr>
      <w:r w:rsidRPr="00A62E7E">
        <w:t>mine design</w:t>
      </w:r>
    </w:p>
    <w:p w:rsidR="00000000" w:rsidRPr="00A62E7E" w:rsidP="00A62E7E">
      <w:pPr>
        <w:pStyle w:val="ListBullet2"/>
      </w:pPr>
      <w:r w:rsidRPr="00A62E7E">
        <w:t>mine operations including:</w:t>
      </w:r>
    </w:p>
    <w:p w:rsidR="00000000" w:rsidRPr="00A62E7E" w:rsidP="00A62E7E">
      <w:pPr>
        <w:pStyle w:val="ListBullet3"/>
      </w:pPr>
      <w:r w:rsidRPr="00A62E7E">
        <w:t>transport systems</w:t>
      </w:r>
    </w:p>
    <w:p w:rsidR="00000000" w:rsidRPr="00A62E7E" w:rsidP="00A62E7E">
      <w:pPr>
        <w:pStyle w:val="ListBullet3"/>
      </w:pPr>
      <w:r w:rsidRPr="00A62E7E">
        <w:t>conveyor systems</w:t>
      </w:r>
    </w:p>
    <w:p w:rsidR="00000000" w:rsidRPr="00A62E7E" w:rsidP="00A62E7E">
      <w:pPr>
        <w:pStyle w:val="ListBullet3"/>
      </w:pPr>
      <w:r w:rsidRPr="00A62E7E">
        <w:t>systems of mining</w:t>
      </w:r>
    </w:p>
    <w:p w:rsidR="00000000" w:rsidRPr="00A62E7E" w:rsidP="00A62E7E">
      <w:pPr>
        <w:pStyle w:val="ListBullet3"/>
      </w:pPr>
      <w:r w:rsidRPr="00A62E7E">
        <w:t>ventilation systems</w:t>
      </w:r>
    </w:p>
    <w:p w:rsidR="00000000" w:rsidRPr="00A62E7E" w:rsidP="00A62E7E">
      <w:pPr>
        <w:pStyle w:val="ListBullet3"/>
      </w:pPr>
      <w:r w:rsidRPr="00A62E7E">
        <w:t>gas management</w:t>
      </w:r>
    </w:p>
    <w:p w:rsidR="00000000" w:rsidRPr="00A62E7E" w:rsidP="00A62E7E">
      <w:pPr>
        <w:pStyle w:val="ListBullet3"/>
      </w:pPr>
      <w:r w:rsidRPr="00A62E7E">
        <w:t>mine water management</w:t>
      </w:r>
    </w:p>
    <w:p w:rsidR="00000000" w:rsidRPr="00A62E7E" w:rsidP="00A62E7E">
      <w:pPr>
        <w:pStyle w:val="ListBullet3"/>
      </w:pPr>
      <w:r w:rsidRPr="00A62E7E">
        <w:t>stores systems</w:t>
      </w:r>
    </w:p>
    <w:p w:rsidR="00000000" w:rsidRPr="00A62E7E" w:rsidP="00A62E7E">
      <w:pPr>
        <w:pStyle w:val="ListBullet2"/>
      </w:pPr>
      <w:r w:rsidRPr="00A62E7E">
        <w:t>computer based systems</w:t>
      </w:r>
    </w:p>
    <w:p w:rsidR="00000000" w:rsidRPr="00A62E7E" w:rsidP="00A62E7E">
      <w:pPr>
        <w:pStyle w:val="ListBullet2"/>
      </w:pPr>
      <w:r w:rsidRPr="00A62E7E">
        <w:t>fire fighting systems and precautions</w:t>
      </w:r>
    </w:p>
    <w:p w:rsidR="00000000" w:rsidRPr="00A62E7E" w:rsidP="00A62E7E">
      <w:pPr>
        <w:pStyle w:val="ListBullet2"/>
      </w:pPr>
      <w:r w:rsidRPr="00A62E7E">
        <w:t>power sources including electrical, hydraulic, compressed air, diesel</w:t>
      </w:r>
    </w:p>
    <w:p w:rsidR="00000000" w:rsidRPr="00A62E7E" w:rsidP="00A62E7E">
      <w:pPr>
        <w:pStyle w:val="ListBullet2"/>
      </w:pPr>
      <w:r w:rsidRPr="00A62E7E">
        <w:t>safety design features for maintenance of mine services systems</w:t>
      </w:r>
    </w:p>
    <w:p w:rsidR="00000000" w:rsidRPr="00A62E7E" w:rsidP="00A62E7E">
      <w:pPr>
        <w:pStyle w:val="ListBullet2"/>
      </w:pPr>
      <w:r w:rsidRPr="00A62E7E">
        <w:t>safety design features of mine services systems</w:t>
      </w:r>
    </w:p>
    <w:p w:rsidR="00000000" w:rsidRPr="00A62E7E" w:rsidP="00A62E7E">
      <w:pPr>
        <w:pStyle w:val="AllowPageBreak"/>
      </w:pPr>
    </w:p>
    <w:p w:rsidR="00000000" w:rsidRPr="00A62E7E" w:rsidP="00A62E7E">
      <w:pPr>
        <w:pStyle w:val="Heading1"/>
      </w:pPr>
      <w:bookmarkStart w:id="4" w:name="O_681046"/>
      <w:bookmarkEnd w:id="4"/>
      <w:r w:rsidRPr="00A62E7E">
        <w:t>Assessment Conditions</w:t>
      </w:r>
    </w:p>
    <w:p w:rsidR="00000000" w:rsidRPr="00A62E7E" w:rsidP="00A62E7E">
      <w:pPr>
        <w:pStyle w:val="ListBullet"/>
      </w:pPr>
      <w:r w:rsidRPr="00A62E7E">
        <w:t xml:space="preserve">An assessor of this unit must satisfy the requirements of the NVR/AQTF or their successors; and Industry regulations for certification and licensing; and, </w:t>
      </w:r>
    </w:p>
    <w:p w:rsidR="00000000" w:rsidRPr="00A62E7E" w:rsidP="00A62E7E">
      <w:pPr>
        <w:pStyle w:val="ListBullet"/>
      </w:pPr>
      <w:r w:rsidRPr="00A62E7E">
        <w:t>this unit is</w:t>
      </w:r>
      <w:r w:rsidRPr="00A62E7E">
        <w:t xml:space="preserve"> best assessed in the context of this sector’s work environment;</w:t>
      </w:r>
    </w:p>
    <w:p w:rsidR="00000000" w:rsidRPr="00A62E7E" w:rsidP="00A62E7E">
      <w:pPr>
        <w:pStyle w:val="ListBullet"/>
      </w:pPr>
      <w:r w:rsidRPr="00A62E7E">
        <w:t xml:space="preserve">where personal safety or environmental damage are limiting factors, assessment may occur in a simulated environment provided it is realistic and sufficiently rigorous to cover all aspects of </w:t>
      </w:r>
      <w:r w:rsidRPr="00A62E7E">
        <w:t>this sector’s workplace performance, including environment, task skills, task management skills, contingency management skills and job role environment skills; and,</w:t>
      </w:r>
    </w:p>
    <w:p w:rsidR="00000000" w:rsidRPr="00A62E7E" w:rsidP="00A62E7E">
      <w:pPr>
        <w:pStyle w:val="ListBullet"/>
      </w:pPr>
      <w:r w:rsidRPr="00A62E7E">
        <w:t>this unit must be assessed in compliance with relevant legislation/regulation and using pol</w:t>
      </w:r>
      <w:r w:rsidRPr="00A62E7E">
        <w:t>icies, procedures, processes and operational manuals directly related to the industry sector for which it is being assessed; and,</w:t>
      </w:r>
    </w:p>
    <w:p w:rsidR="00000000" w:rsidRPr="00A62E7E" w:rsidP="00A62E7E">
      <w:pPr>
        <w:pStyle w:val="ListBullet"/>
      </w:pPr>
      <w:r w:rsidRPr="00A62E7E">
        <w:t>assessment may be conducted in conjunction with the assessment of other Units of Competency; and,</w:t>
      </w:r>
    </w:p>
    <w:p w:rsidR="00000000" w:rsidRPr="00A62E7E" w:rsidP="00A62E7E">
      <w:pPr>
        <w:pStyle w:val="ListBullet"/>
      </w:pPr>
      <w:r w:rsidRPr="00A62E7E">
        <w:t>assessment must confirm cons</w:t>
      </w:r>
      <w:r w:rsidRPr="00A62E7E">
        <w:t>istent performance can be applied in a range of relevant workplace circumstances; and,</w:t>
      </w:r>
    </w:p>
    <w:p w:rsidR="00000000" w:rsidRPr="00A62E7E" w:rsidP="00A62E7E">
      <w:pPr>
        <w:pStyle w:val="ListBullet"/>
      </w:pPr>
      <w:r w:rsidRPr="00A62E7E">
        <w:t>assessors must demonstrate the performance evidence, and knowledge evidence as outlined in this Unit of Competency, and through the minimum years of current* work experi</w:t>
      </w:r>
      <w:r w:rsidRPr="00A62E7E">
        <w:t>ence specified below in an Industry sector relevant to the outcomes of the unit; or,</w:t>
      </w:r>
    </w:p>
    <w:p w:rsidR="00000000" w:rsidRPr="00A62E7E" w:rsidP="00A62E7E">
      <w:pPr>
        <w:pStyle w:val="ListBullet"/>
      </w:pPr>
      <w:r w:rsidRPr="00A62E7E">
        <w:t>where the assessor does not meet experience requirements a co-assessment or partnership arrangement must exist between the qualified assessor and an Industry subject matte</w:t>
      </w:r>
      <w:r w:rsidRPr="00A62E7E">
        <w:t xml:space="preserve">r expert. The Industry subject matter expert should hold the unit being assessed (or an equivalent unit) and/or demonstrate equivalence of skills and knowledge at the unit level. An Industry technical expert must also demonstrate skills and knowledge from </w:t>
      </w:r>
      <w:r w:rsidRPr="00A62E7E">
        <w:t>the minimum years of current work experience specified below in the Industry sector, including time spent in roles related to the unit being assessed; and,</w:t>
      </w:r>
    </w:p>
    <w:p w:rsidR="00000000" w:rsidRPr="00A62E7E" w:rsidP="00A62E7E">
      <w:pPr>
        <w:pStyle w:val="ListBullet"/>
      </w:pPr>
      <w:r w:rsidRPr="00A62E7E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62E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SubHeading1"/>
              <w:rPr>
                <w:lang w:val="en-NZ"/>
              </w:rPr>
            </w:pPr>
            <w:r w:rsidRPr="00A62E7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SubHeading1"/>
              <w:rPr>
                <w:lang w:val="en-NZ"/>
              </w:rPr>
            </w:pPr>
            <w:r w:rsidRPr="00A62E7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SubHeading1"/>
              <w:rPr>
                <w:lang w:val="en-NZ"/>
              </w:rPr>
            </w:pPr>
            <w:r w:rsidRPr="00A62E7E">
              <w:t>Required assessor or Industr</w:t>
            </w:r>
            <w:r w:rsidRPr="00A62E7E">
              <w:t>y subject matter expert experience</w:t>
            </w:r>
          </w:p>
        </w:tc>
      </w:tr>
      <w:tr w:rsidTr="00A62E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1 Year</w:t>
            </w:r>
          </w:p>
        </w:tc>
      </w:tr>
      <w:tr w:rsidTr="00A62E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2 Years</w:t>
            </w:r>
          </w:p>
        </w:tc>
      </w:tr>
      <w:tr w:rsidTr="00A62E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3 Years</w:t>
            </w:r>
          </w:p>
        </w:tc>
      </w:tr>
      <w:tr w:rsidTr="00A62E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5 Years</w:t>
            </w:r>
          </w:p>
        </w:tc>
      </w:tr>
      <w:tr w:rsidTr="00A62E7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2E7E">
            <w:pPr>
              <w:pStyle w:val="BodyText"/>
              <w:rPr>
                <w:lang w:val="en-NZ"/>
              </w:rPr>
            </w:pPr>
            <w:r w:rsidRPr="00A62E7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2E7E" w:rsidP="00A62E7E">
            <w:pPr>
              <w:pStyle w:val="BodyText"/>
            </w:pPr>
            <w:r w:rsidRPr="00A62E7E">
              <w:t xml:space="preserve">Where this Unit is being assessed outside of the Resources and Infrastructure Sectors assessor and/or Industry subject matter expert experience </w:t>
            </w:r>
            <w:r w:rsidRPr="00A62E7E">
              <w:t>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A62E7E" w:rsidP="002907EF">
      <w:pPr>
        <w:pStyle w:val="BodyText"/>
      </w:pPr>
      <w:r w:rsidRPr="00A62E7E">
        <w:t>*Assessors can demonstrate current work experience through employment within In</w:t>
      </w:r>
      <w:r w:rsidRPr="00A62E7E">
        <w:t>dustry in a role relevant to the outcomes of the Unit; or, for external assessors this can be demonstrated through exposure to Industry by conducting frequent site assessments across various locations.</w:t>
      </w:r>
    </w:p>
    <w:p w:rsidR="00000000" w:rsidRPr="00A62E7E" w:rsidP="002907EF">
      <w:pPr>
        <w:pStyle w:val="BodyText"/>
      </w:pPr>
      <w:r w:rsidRPr="00A62E7E">
        <w:t>**Where a unit is being delivered outside of a Qualifi</w:t>
      </w:r>
      <w:r w:rsidRPr="00A62E7E">
        <w:t>cation the first numeric character in the Unit code should be considered to indicate the AQF level</w:t>
      </w:r>
    </w:p>
    <w:p w:rsidR="00000000" w:rsidRPr="00A62E7E" w:rsidP="00A62E7E">
      <w:pPr>
        <w:pStyle w:val="Heading1"/>
      </w:pPr>
      <w:bookmarkStart w:id="5" w:name="O_681058"/>
      <w:bookmarkEnd w:id="5"/>
      <w:r w:rsidRPr="00A62E7E">
        <w:t>Links</w:t>
      </w:r>
    </w:p>
    <w:p w:rsidR="00000000" w:rsidRPr="00A62E7E" w:rsidP="002907EF">
      <w:pPr>
        <w:pStyle w:val="BodyText"/>
      </w:pPr>
      <w:r w:rsidRPr="00A62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F13A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62E7E" w:rsidP="00A62E7E"/>
    <w:sectPr w:rsidSect="00A62E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7E" w:rsidRPr="002907EF" w:rsidP="00290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EF" w:rsidP="00A62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7EF" w:rsidP="00A62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07EF" w:rsidP="00A62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E7E" w:rsidRPr="002907EF" w:rsidP="00290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EF" w:rsidRPr="002D2AF8" w:rsidP="00A62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RIIUND602D Establish and maintain mine services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907EF" w:rsidP="00A62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B8C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14E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62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E7E"/>
  </w:style>
  <w:style w:type="character" w:customStyle="1" w:styleId="Heading1Char">
    <w:name w:val="Heading 1 Char"/>
    <w:basedOn w:val="DefaultParagraphFont"/>
    <w:link w:val="Heading1"/>
    <w:rsid w:val="00A62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E7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62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E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2E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62E7E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A62E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2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E7E"/>
    <w:rPr>
      <w:b/>
      <w:spacing w:val="0"/>
    </w:rPr>
  </w:style>
  <w:style w:type="paragraph" w:customStyle="1" w:styleId="SuperTitle">
    <w:name w:val="SuperTitle"/>
    <w:basedOn w:val="Title"/>
    <w:rsid w:val="00A62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E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E7E"/>
    <w:rPr>
      <w:i/>
    </w:rPr>
  </w:style>
  <w:style w:type="paragraph" w:styleId="Caption">
    <w:name w:val="caption"/>
    <w:basedOn w:val="BodyText"/>
    <w:next w:val="Normal"/>
    <w:qFormat/>
    <w:rsid w:val="00A62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E7E"/>
  </w:style>
  <w:style w:type="paragraph" w:styleId="TableofFigures">
    <w:name w:val="table of figures"/>
    <w:basedOn w:val="Normal"/>
    <w:next w:val="Normal"/>
    <w:semiHidden/>
    <w:rsid w:val="00A62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E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2E7E"/>
    <w:rPr>
      <w:rFonts w:ascii="Wingdings" w:hAnsi="Wingdings"/>
    </w:rPr>
  </w:style>
  <w:style w:type="paragraph" w:customStyle="1" w:styleId="TableHeading">
    <w:name w:val="Table Heading"/>
    <w:basedOn w:val="HeadingBase"/>
    <w:rsid w:val="00A62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E7E"/>
    <w:rPr>
      <w:color w:val="0033CC"/>
      <w:u w:val="none"/>
    </w:rPr>
  </w:style>
  <w:style w:type="paragraph" w:customStyle="1" w:styleId="BodyTextRight">
    <w:name w:val="Body Text Right"/>
    <w:basedOn w:val="BodyText"/>
    <w:rsid w:val="00A62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E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E7E"/>
    <w:rPr>
      <w:sz w:val="32"/>
    </w:rPr>
  </w:style>
  <w:style w:type="paragraph" w:customStyle="1" w:styleId="HeadingProcedure">
    <w:name w:val="Heading Procedure"/>
    <w:basedOn w:val="HeadingBase"/>
    <w:next w:val="Normal"/>
    <w:rsid w:val="00A62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E7E"/>
    <w:pPr>
      <w:spacing w:before="60" w:after="60"/>
    </w:pPr>
  </w:style>
  <w:style w:type="paragraph" w:styleId="ListContinue">
    <w:name w:val="List Continue"/>
    <w:basedOn w:val="List"/>
    <w:rsid w:val="00A62E7E"/>
    <w:pPr>
      <w:ind w:firstLine="0"/>
    </w:pPr>
  </w:style>
  <w:style w:type="paragraph" w:customStyle="1" w:styleId="ListNote">
    <w:name w:val="List Note"/>
    <w:basedOn w:val="List"/>
    <w:rsid w:val="00A62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E7E"/>
    <w:rPr>
      <w:rFonts w:ascii="Courier New" w:hAnsi="Courier New"/>
    </w:rPr>
  </w:style>
  <w:style w:type="paragraph" w:customStyle="1" w:styleId="NoteBullet">
    <w:name w:val="Note Bullet"/>
    <w:basedOn w:val="Note"/>
    <w:rsid w:val="00A62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E7E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62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E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2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E7E"/>
    <w:rPr>
      <w:b/>
      <w:smallCaps/>
    </w:rPr>
  </w:style>
  <w:style w:type="paragraph" w:customStyle="1" w:styleId="TableListNumber">
    <w:name w:val="Table List Number"/>
    <w:basedOn w:val="ListNumber"/>
    <w:rsid w:val="00A62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E7E"/>
    <w:pPr>
      <w:numPr>
        <w:numId w:val="10"/>
      </w:numPr>
    </w:pPr>
  </w:style>
  <w:style w:type="paragraph" w:customStyle="1" w:styleId="ListAlpha2">
    <w:name w:val="List Alpha 2"/>
    <w:basedOn w:val="List2"/>
    <w:rsid w:val="00A62E7E"/>
    <w:pPr>
      <w:numPr>
        <w:numId w:val="9"/>
      </w:numPr>
    </w:pPr>
  </w:style>
  <w:style w:type="paragraph" w:styleId="List2">
    <w:name w:val="List 2"/>
    <w:basedOn w:val="BodyText"/>
    <w:rsid w:val="00A62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E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2E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2E7E"/>
    <w:pPr>
      <w:numPr>
        <w:numId w:val="5"/>
      </w:numPr>
    </w:pPr>
  </w:style>
  <w:style w:type="paragraph" w:styleId="ListContinue2">
    <w:name w:val="List Continue 2"/>
    <w:basedOn w:val="List2"/>
    <w:rsid w:val="00A62E7E"/>
    <w:pPr>
      <w:ind w:firstLine="0"/>
    </w:pPr>
  </w:style>
  <w:style w:type="paragraph" w:styleId="ListContinue3">
    <w:name w:val="List Continue 3"/>
    <w:basedOn w:val="List3"/>
    <w:rsid w:val="00A62E7E"/>
    <w:pPr>
      <w:ind w:left="1021" w:firstLine="0"/>
    </w:pPr>
  </w:style>
  <w:style w:type="paragraph" w:styleId="ListContinue4">
    <w:name w:val="List Continue 4"/>
    <w:basedOn w:val="List4"/>
    <w:rsid w:val="00A62E7E"/>
    <w:pPr>
      <w:ind w:firstLine="0"/>
    </w:pPr>
  </w:style>
  <w:style w:type="paragraph" w:styleId="ListContinue5">
    <w:name w:val="List Continue 5"/>
    <w:basedOn w:val="List5"/>
    <w:rsid w:val="00A62E7E"/>
    <w:pPr>
      <w:ind w:firstLine="0"/>
    </w:pPr>
  </w:style>
  <w:style w:type="paragraph" w:styleId="ListNumber3">
    <w:name w:val="List Number 3"/>
    <w:basedOn w:val="List3"/>
    <w:rsid w:val="00A62E7E"/>
    <w:pPr>
      <w:numPr>
        <w:numId w:val="6"/>
      </w:numPr>
    </w:pPr>
  </w:style>
  <w:style w:type="paragraph" w:styleId="ListNumber4">
    <w:name w:val="List Number 4"/>
    <w:basedOn w:val="List4"/>
    <w:rsid w:val="00A62E7E"/>
    <w:pPr>
      <w:numPr>
        <w:numId w:val="7"/>
      </w:numPr>
    </w:pPr>
  </w:style>
  <w:style w:type="paragraph" w:styleId="ListNumber5">
    <w:name w:val="List Number 5"/>
    <w:basedOn w:val="List5"/>
    <w:rsid w:val="00A62E7E"/>
    <w:pPr>
      <w:numPr>
        <w:numId w:val="8"/>
      </w:numPr>
    </w:pPr>
  </w:style>
  <w:style w:type="paragraph" w:styleId="BlockText">
    <w:name w:val="Block Text"/>
    <w:basedOn w:val="Normal"/>
    <w:rsid w:val="00A62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E7E"/>
    <w:rPr>
      <w:sz w:val="16"/>
      <w:vertAlign w:val="superscript"/>
    </w:rPr>
  </w:style>
  <w:style w:type="character" w:customStyle="1" w:styleId="Symbols">
    <w:name w:val="Symbols"/>
    <w:basedOn w:val="DefaultParagraphFont"/>
    <w:rsid w:val="00A62E7E"/>
    <w:rPr>
      <w:rFonts w:ascii="Symbol" w:hAnsi="Symbol"/>
    </w:rPr>
  </w:style>
  <w:style w:type="character" w:customStyle="1" w:styleId="MenuOptions">
    <w:name w:val="Menu Options"/>
    <w:basedOn w:val="DefaultParagraphFont"/>
    <w:rsid w:val="00A62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E7E"/>
    <w:rPr>
      <w:b/>
    </w:rPr>
  </w:style>
  <w:style w:type="character" w:customStyle="1" w:styleId="Underlined">
    <w:name w:val="Underlined"/>
    <w:basedOn w:val="DefaultParagraphFont"/>
    <w:rsid w:val="00A62E7E"/>
    <w:rPr>
      <w:u w:val="single"/>
    </w:rPr>
  </w:style>
  <w:style w:type="paragraph" w:customStyle="1" w:styleId="TableBodyTextRight">
    <w:name w:val="Table Body Text Right"/>
    <w:basedOn w:val="TableBodyText"/>
    <w:rsid w:val="00A62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E7E"/>
    <w:rPr>
      <w:sz w:val="18"/>
    </w:rPr>
  </w:style>
  <w:style w:type="paragraph" w:customStyle="1" w:styleId="BodySmallRight">
    <w:name w:val="Body Small Right"/>
    <w:basedOn w:val="BodyTextRight"/>
    <w:rsid w:val="00A62E7E"/>
    <w:rPr>
      <w:sz w:val="18"/>
      <w:szCs w:val="18"/>
    </w:rPr>
  </w:style>
  <w:style w:type="paragraph" w:customStyle="1" w:styleId="MarginEdition">
    <w:name w:val="Margin Edition"/>
    <w:basedOn w:val="MarginNote"/>
    <w:rsid w:val="00A62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E7E"/>
    <w:rPr>
      <w:sz w:val="2"/>
      <w:szCs w:val="2"/>
    </w:rPr>
  </w:style>
  <w:style w:type="character" w:customStyle="1" w:styleId="Small">
    <w:name w:val="Small"/>
    <w:basedOn w:val="DefaultParagraphFont"/>
    <w:rsid w:val="00A62E7E"/>
    <w:rPr>
      <w:sz w:val="16"/>
    </w:rPr>
  </w:style>
  <w:style w:type="paragraph" w:customStyle="1" w:styleId="WideTable">
    <w:name w:val="Wide Table"/>
    <w:basedOn w:val="Normal"/>
    <w:rsid w:val="00A62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E7E"/>
  </w:style>
  <w:style w:type="paragraph" w:styleId="Quote">
    <w:name w:val="Quote"/>
    <w:basedOn w:val="Heading1"/>
    <w:link w:val="QuoteChar"/>
    <w:qFormat/>
    <w:rsid w:val="00A62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E7E"/>
    <w:pPr>
      <w:pageBreakBefore/>
    </w:pPr>
  </w:style>
  <w:style w:type="paragraph" w:customStyle="1" w:styleId="Border">
    <w:name w:val="Border"/>
    <w:basedOn w:val="Normal"/>
    <w:qFormat/>
    <w:rsid w:val="00A62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E7E"/>
    <w:rPr>
      <w:u w:val="single"/>
    </w:rPr>
  </w:style>
  <w:style w:type="character" w:customStyle="1" w:styleId="BoldandItalics">
    <w:name w:val="Bold and Italics"/>
    <w:qFormat/>
    <w:rsid w:val="00A62E7E"/>
    <w:rPr>
      <w:b/>
      <w:i/>
      <w:u w:val="none"/>
    </w:rPr>
  </w:style>
  <w:style w:type="paragraph" w:styleId="BalloonText">
    <w:name w:val="Balloon Text"/>
    <w:basedOn w:val="Normal"/>
    <w:link w:val="BalloonTextChar"/>
    <w:rsid w:val="00A62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E7E"/>
    <w:pPr>
      <w:spacing w:before="0" w:after="0"/>
    </w:pPr>
  </w:style>
  <w:style w:type="paragraph" w:customStyle="1" w:styleId="BodyTextBold">
    <w:name w:val="Body Text Bold"/>
    <w:basedOn w:val="BodyText"/>
    <w:qFormat/>
    <w:rsid w:val="00A62E7E"/>
    <w:rPr>
      <w:b/>
    </w:rPr>
  </w:style>
  <w:style w:type="character" w:styleId="Hyperlink">
    <w:name w:val="Hyperlink"/>
    <w:basedOn w:val="DefaultParagraphFont"/>
    <w:uiPriority w:val="99"/>
    <w:unhideWhenUsed/>
    <w:rsid w:val="00290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5657</Characters>
  <Application>Microsoft Office Word</Application>
  <DocSecurity>0</DocSecurity>
  <Lines>157</Lines>
  <Paragraphs>108</Paragraphs>
  <ScaleCrop>false</ScaleCrop>
  <Company>Author-it Software Corporation Ltd.</Company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RIIUND602D Establish and maintain mine services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