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9F3" w:rsidP="007E1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RIIUND307D Conduct tele-remote operations</w:t>
      </w:r>
      <w:r>
        <w:fldChar w:fldCharType="end"/>
      </w:r>
    </w:p>
    <w:p w:rsidR="007E19F3" w:rsidP="007E19F3">
      <w:pPr>
        <w:pStyle w:val="Version"/>
        <w:sectPr w:rsidSect="000B42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4203" w:rsidP="000B4203">
      <w:pPr>
        <w:pStyle w:val="SuperHeading"/>
      </w:pPr>
      <w:r w:rsidRPr="000B4203">
        <w:t>Assessment Requirements for RIIUND307D Conduct tele-remote operations</w:t>
      </w:r>
    </w:p>
    <w:p w:rsidR="00000000" w:rsidRPr="000B4203" w:rsidP="000B4203">
      <w:pPr>
        <w:pStyle w:val="Heading1"/>
      </w:pPr>
      <w:bookmarkStart w:id="1" w:name="O_685203"/>
      <w:bookmarkEnd w:id="1"/>
      <w:r w:rsidRPr="000B420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E19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03">
            <w:pPr>
              <w:pStyle w:val="Heading4"/>
              <w:rPr>
                <w:lang w:val="en-NZ"/>
              </w:rPr>
            </w:pPr>
            <w:r w:rsidRPr="000B420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03">
            <w:pPr>
              <w:pStyle w:val="Heading4"/>
              <w:rPr>
                <w:lang w:val="en-NZ"/>
              </w:rPr>
            </w:pPr>
            <w:r w:rsidRPr="000B4203">
              <w:t>Comment</w:t>
            </w:r>
          </w:p>
        </w:tc>
      </w:tr>
      <w:tr w:rsidTr="007E19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This unit replaces RIIUND307A Conduct tele-remote operations</w:t>
            </w:r>
          </w:p>
        </w:tc>
      </w:tr>
      <w:tr w:rsidTr="007E19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203" w:rsidP="000B4203">
            <w:pPr>
              <w:pStyle w:val="BodyText"/>
            </w:pPr>
            <w:r w:rsidRPr="000B4203">
              <w:t>Required frequency and volume of evidence amended in Performance evidence.</w:t>
            </w:r>
          </w:p>
          <w:p w:rsidR="00000000" w:rsidRPr="000B4203" w:rsidP="000B4203">
            <w:pPr>
              <w:pStyle w:val="BodyText"/>
            </w:pPr>
            <w:r w:rsidRPr="000B4203">
              <w:t>Substantial amendments made in Assessment Conditions field, including: references to Industry Sectors, assessor and subject matter expert experience requirements, how assessment sho</w:t>
            </w:r>
            <w:r w:rsidRPr="000B4203">
              <w:t>uld be conducted and what it should confirm.</w:t>
            </w:r>
          </w:p>
        </w:tc>
      </w:tr>
    </w:tbl>
    <w:p w:rsidR="00000000" w:rsidRPr="000B4203" w:rsidP="000B4203">
      <w:pPr>
        <w:pStyle w:val="BodyText"/>
      </w:pPr>
    </w:p>
    <w:p w:rsidR="00000000" w:rsidRPr="000B4203" w:rsidP="000B4203">
      <w:pPr>
        <w:pStyle w:val="AllowPageBreak"/>
      </w:pPr>
    </w:p>
    <w:p w:rsidR="00000000" w:rsidRPr="000B4203" w:rsidP="000B4203">
      <w:pPr>
        <w:pStyle w:val="Heading1"/>
      </w:pPr>
      <w:bookmarkStart w:id="2" w:name="O_685202"/>
      <w:bookmarkEnd w:id="2"/>
      <w:r w:rsidRPr="000B4203">
        <w:t>Performance Evidence</w:t>
      </w:r>
    </w:p>
    <w:p w:rsidR="00000000" w:rsidRPr="000B4203" w:rsidP="007E19F3">
      <w:pPr>
        <w:pStyle w:val="BodyText"/>
      </w:pPr>
      <w:r w:rsidRPr="000B4203">
        <w:t>Evidence is required to be collected that demonstrates a candidate’s competency in this unit. Evidence must be relevant to the roles within this sector’</w:t>
      </w:r>
      <w:r w:rsidRPr="000B4203">
        <w:t>s work operations and satisfy all of the requirements of the performance criteria of this unit and include evidence that the candidate:</w:t>
      </w:r>
    </w:p>
    <w:p w:rsidR="00000000" w:rsidRPr="000B4203" w:rsidP="000B4203">
      <w:pPr>
        <w:pStyle w:val="ListBullet"/>
      </w:pPr>
      <w:r w:rsidRPr="000B4203">
        <w:t>locates and applies relevant documentation, policies and procedures</w:t>
      </w:r>
    </w:p>
    <w:p w:rsidR="00000000" w:rsidRPr="000B4203" w:rsidP="000B4203">
      <w:pPr>
        <w:pStyle w:val="ListBullet"/>
      </w:pPr>
      <w:r w:rsidRPr="000B4203">
        <w:t>implements the requirements, procedures and techniq</w:t>
      </w:r>
      <w:r w:rsidRPr="000B4203">
        <w:t>ues for the safe, effective and efficient completion of tele-remote operations, including:</w:t>
      </w:r>
    </w:p>
    <w:p w:rsidR="00000000" w:rsidRPr="000B4203" w:rsidP="000B4203">
      <w:pPr>
        <w:pStyle w:val="ListBullet2"/>
      </w:pPr>
      <w:r w:rsidRPr="000B4203">
        <w:t>testing and identifying remote control faults</w:t>
      </w:r>
    </w:p>
    <w:p w:rsidR="00000000" w:rsidRPr="000B4203" w:rsidP="000B4203">
      <w:pPr>
        <w:pStyle w:val="ListBullet2"/>
      </w:pPr>
      <w:r w:rsidRPr="000B4203">
        <w:t>operating, maintaining and cleaning equipment</w:t>
      </w:r>
    </w:p>
    <w:p w:rsidR="00000000" w:rsidRPr="000B4203" w:rsidP="000B4203">
      <w:pPr>
        <w:pStyle w:val="ListBullet2"/>
      </w:pPr>
      <w:r w:rsidRPr="000B4203">
        <w:t>monitoring remote equipment operation</w:t>
      </w:r>
    </w:p>
    <w:p w:rsidR="00000000" w:rsidRPr="000B4203" w:rsidP="000B4203">
      <w:pPr>
        <w:pStyle w:val="ListBullet2"/>
      </w:pPr>
      <w:r w:rsidRPr="000B4203">
        <w:t>erecting barrier systems</w:t>
      </w:r>
    </w:p>
    <w:p w:rsidR="00000000" w:rsidRPr="000B4203" w:rsidP="000B4203">
      <w:pPr>
        <w:pStyle w:val="ListBullet"/>
      </w:pPr>
      <w:r w:rsidRPr="000B4203">
        <w:t>demonstr</w:t>
      </w:r>
      <w:r w:rsidRPr="000B4203">
        <w:t>ates completion of tele-remote operations that safely, effectively and efficiently meets all of the required outcomes on more than one (1) occasion including:</w:t>
      </w:r>
    </w:p>
    <w:p w:rsidR="00000000" w:rsidRPr="000B4203" w:rsidP="000B4203">
      <w:pPr>
        <w:pStyle w:val="ListBullet2"/>
      </w:pPr>
      <w:r w:rsidRPr="000B4203">
        <w:t>completing equipment pre-start, start-up, park-up and shutdown activities</w:t>
      </w:r>
    </w:p>
    <w:p w:rsidR="00000000" w:rsidRPr="000B4203" w:rsidP="000B4203">
      <w:pPr>
        <w:pStyle w:val="ListBullet2"/>
      </w:pPr>
      <w:r w:rsidRPr="000B4203">
        <w:t>operating radio contro</w:t>
      </w:r>
      <w:r w:rsidRPr="000B4203">
        <w:t xml:space="preserve">lled transmitter/receiver </w:t>
      </w:r>
    </w:p>
    <w:p w:rsidR="00000000" w:rsidRPr="000B4203" w:rsidP="000B4203">
      <w:pPr>
        <w:pStyle w:val="ListBullet2"/>
      </w:pPr>
      <w:r w:rsidRPr="000B4203">
        <w:t>operating equipment remotely</w:t>
      </w:r>
    </w:p>
    <w:p w:rsidR="00000000" w:rsidRPr="000B4203" w:rsidP="000B4203">
      <w:pPr>
        <w:pStyle w:val="AllowPageBreak"/>
      </w:pPr>
    </w:p>
    <w:p w:rsidR="00000000" w:rsidRPr="000B4203" w:rsidP="000B4203">
      <w:pPr>
        <w:pStyle w:val="Heading1"/>
      </w:pPr>
      <w:bookmarkStart w:id="3" w:name="O_685201"/>
      <w:bookmarkEnd w:id="3"/>
      <w:r w:rsidRPr="000B4203">
        <w:t>Knowledge Evidence</w:t>
      </w:r>
    </w:p>
    <w:p w:rsidR="00000000" w:rsidRPr="000B4203" w:rsidP="007E19F3">
      <w:pPr>
        <w:pStyle w:val="BodyText"/>
      </w:pPr>
      <w:r w:rsidRPr="000B4203">
        <w:t>The candidate must demonstrate knowledge in conducting tele-remote operations through:</w:t>
      </w:r>
    </w:p>
    <w:p w:rsidR="00000000" w:rsidRPr="000B4203" w:rsidP="000B4203">
      <w:pPr>
        <w:pStyle w:val="ListBullet"/>
      </w:pPr>
      <w:r w:rsidRPr="000B4203">
        <w:t>accessing, interpreting and applying legislative, organisation and site requirements and procedures for:</w:t>
      </w:r>
    </w:p>
    <w:p w:rsidR="00000000" w:rsidRPr="000B4203" w:rsidP="000B4203">
      <w:pPr>
        <w:pStyle w:val="ListBullet2"/>
      </w:pPr>
      <w:r w:rsidRPr="000B4203">
        <w:t>environmental issues</w:t>
      </w:r>
    </w:p>
    <w:p w:rsidR="00000000" w:rsidRPr="000B4203" w:rsidP="000B4203">
      <w:pPr>
        <w:pStyle w:val="ListBullet2"/>
      </w:pPr>
      <w:r w:rsidRPr="000B4203">
        <w:t>equipment parking</w:t>
      </w:r>
    </w:p>
    <w:p w:rsidR="00000000" w:rsidRPr="000B4203" w:rsidP="000B4203">
      <w:pPr>
        <w:pStyle w:val="ListBullet2"/>
      </w:pPr>
      <w:r w:rsidRPr="000B4203">
        <w:t>equipment safety</w:t>
      </w:r>
    </w:p>
    <w:p w:rsidR="00000000" w:rsidRPr="000B4203" w:rsidP="000B4203">
      <w:pPr>
        <w:pStyle w:val="ListBullet2"/>
      </w:pPr>
      <w:r w:rsidRPr="000B4203">
        <w:t>isolation</w:t>
      </w:r>
    </w:p>
    <w:p w:rsidR="00000000" w:rsidRPr="000B4203" w:rsidP="000B4203">
      <w:pPr>
        <w:pStyle w:val="ListBullet2"/>
      </w:pPr>
      <w:r w:rsidRPr="000B4203">
        <w:t>primary and secondary ventilation</w:t>
      </w:r>
    </w:p>
    <w:p w:rsidR="00000000" w:rsidRPr="000B4203" w:rsidP="000B4203">
      <w:pPr>
        <w:pStyle w:val="ListBullet2"/>
      </w:pPr>
      <w:r w:rsidRPr="000B4203">
        <w:t>tele-remote operations</w:t>
      </w:r>
    </w:p>
    <w:p w:rsidR="00000000" w:rsidRPr="000B4203" w:rsidP="000B4203">
      <w:pPr>
        <w:pStyle w:val="ListBullet"/>
      </w:pPr>
      <w:r w:rsidRPr="000B4203">
        <w:t>identifying equipment proc</w:t>
      </w:r>
      <w:r w:rsidRPr="000B4203">
        <w:t>esses, technical capability and limitations</w:t>
      </w:r>
    </w:p>
    <w:p w:rsidR="00000000" w:rsidRPr="000B4203" w:rsidP="000B4203">
      <w:pPr>
        <w:pStyle w:val="ListBullet"/>
      </w:pPr>
      <w:r w:rsidRPr="000B4203">
        <w:t>accessing and interpreting geological and technical data (basic)</w:t>
      </w:r>
    </w:p>
    <w:p w:rsidR="00000000" w:rsidRPr="000B4203" w:rsidP="000B4203">
      <w:pPr>
        <w:pStyle w:val="AllowPageBreak"/>
      </w:pPr>
    </w:p>
    <w:p w:rsidR="00000000" w:rsidRPr="000B4203" w:rsidP="000B4203">
      <w:pPr>
        <w:pStyle w:val="Heading1"/>
      </w:pPr>
      <w:bookmarkStart w:id="4" w:name="O_685200"/>
      <w:bookmarkEnd w:id="4"/>
      <w:r w:rsidRPr="000B4203">
        <w:t>Assessment Conditions</w:t>
      </w:r>
    </w:p>
    <w:p w:rsidR="00000000" w:rsidRPr="000B4203" w:rsidP="000B4203">
      <w:pPr>
        <w:pStyle w:val="ListBullet"/>
      </w:pPr>
      <w:r w:rsidRPr="000B4203">
        <w:t>An assessor of this unit must satisfy the requirements of the NVR/AQTF or their successors; and Industry re</w:t>
      </w:r>
      <w:r w:rsidRPr="000B4203">
        <w:t xml:space="preserve">gulations for certification and licensing; and, </w:t>
      </w:r>
    </w:p>
    <w:p w:rsidR="00000000" w:rsidRPr="000B4203" w:rsidP="000B4203">
      <w:pPr>
        <w:pStyle w:val="ListBullet"/>
      </w:pPr>
      <w:r w:rsidRPr="000B4203">
        <w:t>this unit must be assessed in the context of this sector’s work environment; and,</w:t>
      </w:r>
    </w:p>
    <w:p w:rsidR="00000000" w:rsidRPr="000B4203" w:rsidP="000B4203">
      <w:pPr>
        <w:pStyle w:val="ListBullet"/>
      </w:pPr>
      <w:r w:rsidRPr="000B4203">
        <w:t>this unit must be assessed in compliance with relevant legislation/regulation and using policies, procedures, processes and o</w:t>
      </w:r>
      <w:r w:rsidRPr="000B4203">
        <w:t>perational manuals directly related to the industry sector for which it is being assessed; and,</w:t>
      </w:r>
    </w:p>
    <w:p w:rsidR="00000000" w:rsidRPr="000B4203" w:rsidP="000B4203">
      <w:pPr>
        <w:pStyle w:val="ListBullet"/>
      </w:pPr>
      <w:r w:rsidRPr="000B4203">
        <w:t>assessment may be conducted in conjunction with the assessment of other Units of Competency; and,</w:t>
      </w:r>
    </w:p>
    <w:p w:rsidR="00000000" w:rsidRPr="000B4203" w:rsidP="000B4203">
      <w:pPr>
        <w:pStyle w:val="ListBullet"/>
      </w:pPr>
      <w:r w:rsidRPr="000B4203">
        <w:t>assessment must confirm consistent performance can be applied in a range of relevant workplace circumstances; and,</w:t>
      </w:r>
    </w:p>
    <w:p w:rsidR="00000000" w:rsidRPr="000B4203" w:rsidP="000B4203">
      <w:pPr>
        <w:pStyle w:val="ListBullet"/>
      </w:pPr>
      <w:r w:rsidRPr="000B4203">
        <w:t>assessors must demonstrate the performance evidence, and knowledge evidence as outlined in this Unit of Competency, and through the minimum y</w:t>
      </w:r>
      <w:r w:rsidRPr="000B4203">
        <w:t>ears of current* work experience specified below in an Industry sector relevant to the outcomes of the unit; or,</w:t>
      </w:r>
    </w:p>
    <w:p w:rsidR="00000000" w:rsidRPr="000B4203" w:rsidP="000B4203">
      <w:pPr>
        <w:pStyle w:val="ListBullet"/>
      </w:pPr>
      <w:r w:rsidRPr="000B4203">
        <w:t>where the assessor does not meet experience requirements a co-assessment or partnership arrangement must exist between the qualified assessor a</w:t>
      </w:r>
      <w:r w:rsidRPr="000B4203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0B4203">
        <w:t>e skills and knowledge from the minimum years of current work experience specified below in the Industry sector, including time spent in roles related to the unit being assessed; and,</w:t>
      </w:r>
    </w:p>
    <w:p w:rsidR="00000000" w:rsidRPr="000B4203" w:rsidP="000B4203">
      <w:pPr>
        <w:pStyle w:val="ListBullet"/>
      </w:pPr>
      <w:r w:rsidRPr="000B4203">
        <w:t>assessor and Industry subject matter expert requirements differ dependin</w:t>
      </w:r>
      <w:r w:rsidRPr="000B4203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0B42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SubHeading1"/>
              <w:rPr>
                <w:lang w:val="en-NZ"/>
              </w:rPr>
            </w:pPr>
            <w:r w:rsidRPr="000B420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SubHeading1"/>
              <w:rPr>
                <w:lang w:val="en-NZ"/>
              </w:rPr>
            </w:pPr>
            <w:r w:rsidRPr="000B420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SubHeading1"/>
              <w:rPr>
                <w:lang w:val="en-NZ"/>
              </w:rPr>
            </w:pPr>
            <w:r w:rsidRPr="000B4203">
              <w:t>Required assessor or Industry subject matter expert experience</w:t>
            </w:r>
          </w:p>
        </w:tc>
      </w:tr>
      <w:tr w:rsidTr="000B42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Drilling, Metalliferous Mining, Coal</w:t>
            </w:r>
            <w:r w:rsidRPr="000B4203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1 Year</w:t>
            </w:r>
          </w:p>
        </w:tc>
      </w:tr>
      <w:tr w:rsidTr="000B42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2 Years</w:t>
            </w:r>
          </w:p>
        </w:tc>
      </w:tr>
      <w:tr w:rsidTr="000B42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3 Years</w:t>
            </w:r>
          </w:p>
        </w:tc>
      </w:tr>
      <w:tr w:rsidTr="000B42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5 Years</w:t>
            </w:r>
          </w:p>
        </w:tc>
      </w:tr>
      <w:tr w:rsidTr="000B420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B4203">
            <w:pPr>
              <w:pStyle w:val="BodyText"/>
              <w:rPr>
                <w:lang w:val="en-NZ"/>
              </w:rPr>
            </w:pPr>
            <w:r w:rsidRPr="000B420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B4203" w:rsidP="000B4203">
            <w:pPr>
              <w:pStyle w:val="BodyText"/>
            </w:pPr>
            <w:r w:rsidRPr="000B420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0B4203">
              <w:t>ndard is specified should comply with any relevant regulation.</w:t>
            </w:r>
          </w:p>
        </w:tc>
      </w:tr>
    </w:tbl>
    <w:p w:rsidR="00000000" w:rsidRPr="000B4203" w:rsidP="007E19F3">
      <w:pPr>
        <w:pStyle w:val="BodyText"/>
      </w:pPr>
      <w:r w:rsidRPr="000B4203">
        <w:t>*Assessors can demonstrate current work experience through employment within Industry in a role relevant to the outcomes of the Unit; or, for external assessors this can be demonstrated throu</w:t>
      </w:r>
      <w:r w:rsidRPr="000B4203">
        <w:t>gh exposure to Industry by conducting frequent site assessments across various locations.</w:t>
      </w:r>
    </w:p>
    <w:p w:rsidR="007E19F3" w:rsidP="007E19F3">
      <w:pPr>
        <w:pStyle w:val="BodyText"/>
      </w:pPr>
      <w:r w:rsidRPr="000B4203">
        <w:t>**Where a unit is being delivered outside of a Qualification the first numeric character in the Unit code should be considered to indicate the AQF level</w:t>
      </w:r>
    </w:p>
    <w:p w:rsidR="00000000" w:rsidRPr="000B4203" w:rsidP="000B4203">
      <w:pPr>
        <w:pStyle w:val="Heading1"/>
      </w:pPr>
      <w:bookmarkStart w:id="5" w:name="O_685215"/>
      <w:bookmarkEnd w:id="5"/>
      <w:r w:rsidRPr="000B4203">
        <w:t>Links</w:t>
      </w:r>
    </w:p>
    <w:p w:rsidR="00000000" w:rsidRPr="000B4203" w:rsidP="007E19F3">
      <w:pPr>
        <w:pStyle w:val="BodyText"/>
      </w:pPr>
      <w:r w:rsidRPr="000B42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128A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B4203" w:rsidP="000B4203"/>
    <w:sectPr w:rsidSect="000B42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03" w:rsidRPr="007E19F3" w:rsidP="007E1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F3" w:rsidP="000B42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9F3" w:rsidP="000B42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19F3" w:rsidP="000B42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203" w:rsidRPr="007E19F3" w:rsidP="007E1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2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F3" w:rsidRPr="002D2AF8" w:rsidP="000B42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RIIUND307D Conduct tele-remote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E19F3" w:rsidP="000B42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FA95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408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F23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2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2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2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2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2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2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2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2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2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2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2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203"/>
  </w:style>
  <w:style w:type="character" w:customStyle="1" w:styleId="Heading1Char">
    <w:name w:val="Heading 1 Char"/>
    <w:basedOn w:val="DefaultParagraphFont"/>
    <w:link w:val="Heading1"/>
    <w:rsid w:val="000B42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20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B42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2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2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42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2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2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0B4203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0B42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2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2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2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2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2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2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2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2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2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2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2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2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2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2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2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2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4203"/>
    <w:rPr>
      <w:b/>
      <w:spacing w:val="0"/>
    </w:rPr>
  </w:style>
  <w:style w:type="paragraph" w:customStyle="1" w:styleId="SuperTitle">
    <w:name w:val="SuperTitle"/>
    <w:basedOn w:val="Title"/>
    <w:rsid w:val="000B42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2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2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2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2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2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2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2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2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2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2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2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203"/>
    <w:rPr>
      <w:i/>
    </w:rPr>
  </w:style>
  <w:style w:type="paragraph" w:styleId="Caption">
    <w:name w:val="caption"/>
    <w:basedOn w:val="BodyText"/>
    <w:next w:val="Normal"/>
    <w:qFormat/>
    <w:rsid w:val="000B42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2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2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203"/>
  </w:style>
  <w:style w:type="paragraph" w:styleId="TableofFigures">
    <w:name w:val="table of figures"/>
    <w:basedOn w:val="Normal"/>
    <w:next w:val="Normal"/>
    <w:semiHidden/>
    <w:rsid w:val="000B42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2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203"/>
    <w:rPr>
      <w:rFonts w:ascii="Wingdings" w:hAnsi="Wingdings"/>
    </w:rPr>
  </w:style>
  <w:style w:type="paragraph" w:customStyle="1" w:styleId="TableHeading">
    <w:name w:val="Table Heading"/>
    <w:basedOn w:val="HeadingBase"/>
    <w:rsid w:val="000B42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203"/>
    <w:rPr>
      <w:color w:val="0033CC"/>
      <w:u w:val="none"/>
    </w:rPr>
  </w:style>
  <w:style w:type="paragraph" w:customStyle="1" w:styleId="BodyTextRight">
    <w:name w:val="Body Text Right"/>
    <w:basedOn w:val="BodyText"/>
    <w:rsid w:val="000B42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2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2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2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2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2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203"/>
    <w:rPr>
      <w:sz w:val="32"/>
    </w:rPr>
  </w:style>
  <w:style w:type="paragraph" w:customStyle="1" w:styleId="HeadingProcedure">
    <w:name w:val="Heading Procedure"/>
    <w:basedOn w:val="HeadingBase"/>
    <w:next w:val="Normal"/>
    <w:rsid w:val="000B42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203"/>
    <w:pPr>
      <w:spacing w:before="60" w:after="60"/>
    </w:pPr>
  </w:style>
  <w:style w:type="paragraph" w:styleId="ListContinue">
    <w:name w:val="List Continue"/>
    <w:basedOn w:val="List"/>
    <w:rsid w:val="000B4203"/>
    <w:pPr>
      <w:ind w:firstLine="0"/>
    </w:pPr>
  </w:style>
  <w:style w:type="paragraph" w:customStyle="1" w:styleId="ListNote">
    <w:name w:val="List Note"/>
    <w:basedOn w:val="List"/>
    <w:rsid w:val="000B42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2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2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203"/>
    <w:rPr>
      <w:rFonts w:ascii="Courier New" w:hAnsi="Courier New"/>
    </w:rPr>
  </w:style>
  <w:style w:type="paragraph" w:customStyle="1" w:styleId="NoteBullet">
    <w:name w:val="Note Bullet"/>
    <w:basedOn w:val="Note"/>
    <w:rsid w:val="000B42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203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0B42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2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2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2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203"/>
    <w:rPr>
      <w:b/>
      <w:smallCaps/>
    </w:rPr>
  </w:style>
  <w:style w:type="paragraph" w:customStyle="1" w:styleId="TableListNumber">
    <w:name w:val="Table List Number"/>
    <w:basedOn w:val="ListNumber"/>
    <w:rsid w:val="000B42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2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203"/>
    <w:pPr>
      <w:numPr>
        <w:numId w:val="9"/>
      </w:numPr>
    </w:pPr>
  </w:style>
  <w:style w:type="paragraph" w:customStyle="1" w:styleId="ListAlpha2">
    <w:name w:val="List Alpha 2"/>
    <w:basedOn w:val="List2"/>
    <w:rsid w:val="000B4203"/>
    <w:pPr>
      <w:numPr>
        <w:numId w:val="8"/>
      </w:numPr>
    </w:pPr>
  </w:style>
  <w:style w:type="paragraph" w:styleId="List2">
    <w:name w:val="List 2"/>
    <w:basedOn w:val="BodyText"/>
    <w:rsid w:val="000B42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2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2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2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2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2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203"/>
    <w:pPr>
      <w:numPr>
        <w:numId w:val="4"/>
      </w:numPr>
    </w:pPr>
  </w:style>
  <w:style w:type="paragraph" w:styleId="ListContinue2">
    <w:name w:val="List Continue 2"/>
    <w:basedOn w:val="List2"/>
    <w:rsid w:val="000B4203"/>
    <w:pPr>
      <w:ind w:firstLine="0"/>
    </w:pPr>
  </w:style>
  <w:style w:type="paragraph" w:styleId="ListContinue3">
    <w:name w:val="List Continue 3"/>
    <w:basedOn w:val="List3"/>
    <w:rsid w:val="000B4203"/>
    <w:pPr>
      <w:ind w:left="1021" w:firstLine="0"/>
    </w:pPr>
  </w:style>
  <w:style w:type="paragraph" w:styleId="ListContinue4">
    <w:name w:val="List Continue 4"/>
    <w:basedOn w:val="List4"/>
    <w:rsid w:val="000B4203"/>
    <w:pPr>
      <w:ind w:firstLine="0"/>
    </w:pPr>
  </w:style>
  <w:style w:type="paragraph" w:styleId="ListContinue5">
    <w:name w:val="List Continue 5"/>
    <w:basedOn w:val="List5"/>
    <w:rsid w:val="000B4203"/>
    <w:pPr>
      <w:ind w:firstLine="0"/>
    </w:pPr>
  </w:style>
  <w:style w:type="paragraph" w:styleId="ListNumber3">
    <w:name w:val="List Number 3"/>
    <w:basedOn w:val="List3"/>
    <w:rsid w:val="000B4203"/>
    <w:pPr>
      <w:numPr>
        <w:numId w:val="5"/>
      </w:numPr>
    </w:pPr>
  </w:style>
  <w:style w:type="paragraph" w:styleId="ListNumber4">
    <w:name w:val="List Number 4"/>
    <w:basedOn w:val="List4"/>
    <w:rsid w:val="000B4203"/>
    <w:pPr>
      <w:numPr>
        <w:numId w:val="6"/>
      </w:numPr>
    </w:pPr>
  </w:style>
  <w:style w:type="paragraph" w:styleId="ListNumber5">
    <w:name w:val="List Number 5"/>
    <w:basedOn w:val="List5"/>
    <w:rsid w:val="000B4203"/>
    <w:pPr>
      <w:numPr>
        <w:numId w:val="7"/>
      </w:numPr>
    </w:pPr>
  </w:style>
  <w:style w:type="paragraph" w:styleId="BlockText">
    <w:name w:val="Block Text"/>
    <w:basedOn w:val="Normal"/>
    <w:rsid w:val="000B42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2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203"/>
    <w:rPr>
      <w:sz w:val="16"/>
      <w:vertAlign w:val="superscript"/>
    </w:rPr>
  </w:style>
  <w:style w:type="character" w:customStyle="1" w:styleId="Symbols">
    <w:name w:val="Symbols"/>
    <w:basedOn w:val="DefaultParagraphFont"/>
    <w:rsid w:val="000B4203"/>
    <w:rPr>
      <w:rFonts w:ascii="Symbol" w:hAnsi="Symbol"/>
    </w:rPr>
  </w:style>
  <w:style w:type="character" w:customStyle="1" w:styleId="MenuOptions">
    <w:name w:val="Menu Options"/>
    <w:basedOn w:val="DefaultParagraphFont"/>
    <w:rsid w:val="000B42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203"/>
    <w:rPr>
      <w:b/>
    </w:rPr>
  </w:style>
  <w:style w:type="character" w:customStyle="1" w:styleId="Underlined">
    <w:name w:val="Underlined"/>
    <w:basedOn w:val="DefaultParagraphFont"/>
    <w:rsid w:val="000B4203"/>
    <w:rPr>
      <w:u w:val="single"/>
    </w:rPr>
  </w:style>
  <w:style w:type="paragraph" w:customStyle="1" w:styleId="TableBodyTextRight">
    <w:name w:val="Table Body Text Right"/>
    <w:basedOn w:val="TableBodyText"/>
    <w:rsid w:val="000B42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203"/>
    <w:rPr>
      <w:sz w:val="18"/>
    </w:rPr>
  </w:style>
  <w:style w:type="paragraph" w:customStyle="1" w:styleId="BodySmallRight">
    <w:name w:val="Body Small Right"/>
    <w:basedOn w:val="BodyTextRight"/>
    <w:rsid w:val="000B4203"/>
    <w:rPr>
      <w:sz w:val="18"/>
      <w:szCs w:val="18"/>
    </w:rPr>
  </w:style>
  <w:style w:type="paragraph" w:customStyle="1" w:styleId="MarginEdition">
    <w:name w:val="Margin Edition"/>
    <w:basedOn w:val="MarginNote"/>
    <w:rsid w:val="000B42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203"/>
    <w:rPr>
      <w:sz w:val="2"/>
      <w:szCs w:val="2"/>
    </w:rPr>
  </w:style>
  <w:style w:type="character" w:customStyle="1" w:styleId="Small">
    <w:name w:val="Small"/>
    <w:basedOn w:val="DefaultParagraphFont"/>
    <w:rsid w:val="000B4203"/>
    <w:rPr>
      <w:sz w:val="16"/>
    </w:rPr>
  </w:style>
  <w:style w:type="paragraph" w:customStyle="1" w:styleId="WideTable">
    <w:name w:val="Wide Table"/>
    <w:basedOn w:val="Normal"/>
    <w:rsid w:val="000B42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203"/>
  </w:style>
  <w:style w:type="paragraph" w:styleId="Quote">
    <w:name w:val="Quote"/>
    <w:basedOn w:val="Heading1"/>
    <w:link w:val="QuoteChar"/>
    <w:qFormat/>
    <w:rsid w:val="000B42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2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203"/>
    <w:pPr>
      <w:pageBreakBefore/>
    </w:pPr>
  </w:style>
  <w:style w:type="paragraph" w:customStyle="1" w:styleId="Border">
    <w:name w:val="Border"/>
    <w:basedOn w:val="Normal"/>
    <w:qFormat/>
    <w:rsid w:val="000B42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2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2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2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2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2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2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2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2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203"/>
    <w:rPr>
      <w:u w:val="single"/>
    </w:rPr>
  </w:style>
  <w:style w:type="character" w:customStyle="1" w:styleId="BoldandItalics">
    <w:name w:val="Bold and Italics"/>
    <w:qFormat/>
    <w:rsid w:val="000B4203"/>
    <w:rPr>
      <w:b/>
      <w:i/>
      <w:u w:val="none"/>
    </w:rPr>
  </w:style>
  <w:style w:type="paragraph" w:styleId="BalloonText">
    <w:name w:val="Balloon Text"/>
    <w:basedOn w:val="Normal"/>
    <w:link w:val="BalloonTextChar"/>
    <w:rsid w:val="000B4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2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2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2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2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2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203"/>
    <w:pPr>
      <w:spacing w:before="0" w:after="0"/>
    </w:pPr>
  </w:style>
  <w:style w:type="paragraph" w:customStyle="1" w:styleId="BodyTextBold">
    <w:name w:val="Body Text Bold"/>
    <w:basedOn w:val="BodyText"/>
    <w:qFormat/>
    <w:rsid w:val="000B4203"/>
    <w:rPr>
      <w:b/>
    </w:rPr>
  </w:style>
  <w:style w:type="character" w:styleId="Hyperlink">
    <w:name w:val="Hyperlink"/>
    <w:basedOn w:val="DefaultParagraphFont"/>
    <w:uiPriority w:val="99"/>
    <w:unhideWhenUsed/>
    <w:rsid w:val="007E19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4476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RIIUND307D Conduct tele-remote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