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9D9" w:rsidP="00C43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RIIUND302D Conduct cage operations</w:t>
      </w:r>
      <w:r>
        <w:fldChar w:fldCharType="end"/>
      </w:r>
    </w:p>
    <w:p w:rsidR="00C439D9" w:rsidP="00C439D9">
      <w:pPr>
        <w:pStyle w:val="Version"/>
        <w:sectPr w:rsidSect="00D55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5C14" w:rsidP="00D55C14">
      <w:pPr>
        <w:pStyle w:val="SuperHeading"/>
      </w:pPr>
      <w:r w:rsidRPr="00D55C14">
        <w:t>Assessment Requirements for RIIUND302D Conduct cage operations</w:t>
      </w:r>
    </w:p>
    <w:p w:rsidR="00000000" w:rsidRPr="00D55C14" w:rsidP="00D55C14">
      <w:pPr>
        <w:pStyle w:val="Heading1"/>
      </w:pPr>
      <w:bookmarkStart w:id="1" w:name="O_681079"/>
      <w:bookmarkEnd w:id="1"/>
      <w:r w:rsidRPr="00D55C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439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C14">
            <w:pPr>
              <w:pStyle w:val="Heading4"/>
              <w:rPr>
                <w:lang w:val="en-NZ"/>
              </w:rPr>
            </w:pPr>
            <w:r w:rsidRPr="00D55C1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C14">
            <w:pPr>
              <w:pStyle w:val="Heading4"/>
              <w:rPr>
                <w:lang w:val="en-NZ"/>
              </w:rPr>
            </w:pPr>
            <w:r w:rsidRPr="00D55C14">
              <w:t>Comment</w:t>
            </w:r>
          </w:p>
        </w:tc>
      </w:tr>
      <w:tr w:rsidTr="00C439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This unit replaces RIIUND302A Conduct cage operations</w:t>
            </w:r>
          </w:p>
        </w:tc>
      </w:tr>
      <w:tr w:rsidTr="00C439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C14" w:rsidP="00D55C14">
            <w:pPr>
              <w:pStyle w:val="BodyText"/>
            </w:pPr>
            <w:r w:rsidRPr="00D55C14">
              <w:t>Required frequency and volume of evidence amended in Performance evidence.</w:t>
            </w:r>
          </w:p>
          <w:p w:rsidR="00000000" w:rsidRPr="00D55C14" w:rsidP="00D55C14">
            <w:pPr>
              <w:pStyle w:val="BodyText"/>
            </w:pPr>
            <w:r w:rsidRPr="00D55C1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55C14" w:rsidP="00D55C14">
      <w:pPr>
        <w:pStyle w:val="BodyText"/>
      </w:pPr>
    </w:p>
    <w:p w:rsidR="00000000" w:rsidRPr="00D55C14" w:rsidP="00D55C14">
      <w:pPr>
        <w:pStyle w:val="AllowPageBreak"/>
      </w:pPr>
    </w:p>
    <w:p w:rsidR="00000000" w:rsidRPr="00D55C14" w:rsidP="00D55C14">
      <w:pPr>
        <w:pStyle w:val="Heading1"/>
      </w:pPr>
      <w:bookmarkStart w:id="2" w:name="O_681078"/>
      <w:bookmarkEnd w:id="2"/>
      <w:r w:rsidRPr="00D55C14">
        <w:t>Performance</w:t>
      </w:r>
      <w:r w:rsidRPr="00D55C14">
        <w:t xml:space="preserve"> Evidence</w:t>
      </w:r>
    </w:p>
    <w:p w:rsidR="00000000" w:rsidRPr="00D55C14" w:rsidP="00C439D9">
      <w:pPr>
        <w:pStyle w:val="BodyText"/>
      </w:pPr>
      <w:r w:rsidRPr="00D55C14">
        <w:t>Evidence is required to be collected that demonstrates a candidate’s competency in this unit. Evidence must be relevant to the roles within this sector’</w:t>
      </w:r>
      <w:r w:rsidRPr="00D55C14">
        <w:t>s work operations and satisfy all of the requirements of the performance criteria of this unit and include evidence that the candidate:</w:t>
      </w:r>
    </w:p>
    <w:p w:rsidR="00000000" w:rsidRPr="00D55C14" w:rsidP="00D55C14">
      <w:pPr>
        <w:pStyle w:val="ListBullet"/>
      </w:pPr>
      <w:r w:rsidRPr="00D55C14">
        <w:t>locates and applies relevant documentation, policies and procedures</w:t>
      </w:r>
    </w:p>
    <w:p w:rsidR="00000000" w:rsidRPr="00D55C14" w:rsidP="00D55C14">
      <w:pPr>
        <w:pStyle w:val="ListBullet"/>
      </w:pPr>
      <w:r w:rsidRPr="00D55C14">
        <w:t>demonstrates completion of conducting cage operatio</w:t>
      </w:r>
      <w:r w:rsidRPr="00D55C14">
        <w:t>ns that safely, effectively and efficiently meets all of the required outcomes on more than one (1) occasion including:</w:t>
      </w:r>
    </w:p>
    <w:p w:rsidR="00000000" w:rsidRPr="00D55C14" w:rsidP="00D55C14">
      <w:pPr>
        <w:pStyle w:val="ListBullet2"/>
      </w:pPr>
      <w:r w:rsidRPr="00D55C14">
        <w:t>completing start-up procedures</w:t>
      </w:r>
    </w:p>
    <w:p w:rsidR="00000000" w:rsidRPr="00D55C14" w:rsidP="00D55C14">
      <w:pPr>
        <w:pStyle w:val="ListBullet2"/>
      </w:pPr>
      <w:r w:rsidRPr="00D55C14">
        <w:t>completing cage operation procedures</w:t>
      </w:r>
    </w:p>
    <w:p w:rsidR="00000000" w:rsidRPr="00D55C14" w:rsidP="00D55C14">
      <w:pPr>
        <w:pStyle w:val="ListBullet2"/>
      </w:pPr>
      <w:r w:rsidRPr="00D55C14">
        <w:t>completing transporting explosives operations</w:t>
      </w:r>
    </w:p>
    <w:p w:rsidR="00000000" w:rsidRPr="00D55C14" w:rsidP="00D55C14">
      <w:pPr>
        <w:pStyle w:val="ListBullet2"/>
      </w:pPr>
      <w:r w:rsidRPr="00D55C14">
        <w:t>monitoring and managi</w:t>
      </w:r>
      <w:r w:rsidRPr="00D55C14">
        <w:t>ng cage performance using indicators</w:t>
      </w:r>
    </w:p>
    <w:p w:rsidR="00000000" w:rsidRPr="00D55C14" w:rsidP="00D55C14">
      <w:pPr>
        <w:pStyle w:val="ListBullet2"/>
      </w:pPr>
      <w:r w:rsidRPr="00D55C14">
        <w:t>isolating, servicing, cleaning and adjusting the cage</w:t>
      </w:r>
    </w:p>
    <w:p w:rsidR="00000000" w:rsidRPr="00D55C14" w:rsidP="00D55C14">
      <w:pPr>
        <w:pStyle w:val="AllowPageBreak"/>
      </w:pPr>
    </w:p>
    <w:p w:rsidR="00000000" w:rsidRPr="00D55C14" w:rsidP="00D55C14">
      <w:pPr>
        <w:pStyle w:val="Heading1"/>
      </w:pPr>
      <w:bookmarkStart w:id="3" w:name="O_681077"/>
      <w:bookmarkEnd w:id="3"/>
      <w:r w:rsidRPr="00D55C14">
        <w:t>Knowledge Evidence</w:t>
      </w:r>
    </w:p>
    <w:p w:rsidR="00000000" w:rsidRPr="00D55C14" w:rsidP="00C439D9">
      <w:pPr>
        <w:pStyle w:val="BodyText"/>
      </w:pPr>
      <w:r w:rsidRPr="00D55C14">
        <w:t>The candidate must demonstrate knowledge in conducting cage operations through:</w:t>
      </w:r>
    </w:p>
    <w:p w:rsidR="00000000" w:rsidRPr="00D55C14" w:rsidP="00D55C14">
      <w:pPr>
        <w:pStyle w:val="ListBullet"/>
      </w:pPr>
      <w:r w:rsidRPr="00D55C14">
        <w:t>hand and power tools</w:t>
      </w:r>
    </w:p>
    <w:p w:rsidR="00000000" w:rsidRPr="00D55C14" w:rsidP="00D55C14">
      <w:pPr>
        <w:pStyle w:val="ListBullet"/>
      </w:pPr>
      <w:r w:rsidRPr="00D55C14">
        <w:t>the key areas of mining act</w:t>
      </w:r>
      <w:r w:rsidRPr="00D55C14">
        <w:t>s and regulations pertaining to winding</w:t>
      </w:r>
    </w:p>
    <w:p w:rsidR="00000000" w:rsidRPr="00D55C14" w:rsidP="00D55C14">
      <w:pPr>
        <w:pStyle w:val="ListBullet"/>
      </w:pPr>
      <w:r w:rsidRPr="00D55C14">
        <w:t>identification of defects relevant to cage operations through inspection or observation</w:t>
      </w:r>
    </w:p>
    <w:p w:rsidR="00000000" w:rsidRPr="00D55C14" w:rsidP="00D55C14">
      <w:pPr>
        <w:pStyle w:val="ListBullet"/>
      </w:pPr>
      <w:r w:rsidRPr="00D55C14">
        <w:t>trip and fault procedures and abnormal conditions</w:t>
      </w:r>
    </w:p>
    <w:p w:rsidR="00000000" w:rsidRPr="00D55C14" w:rsidP="00D55C14">
      <w:pPr>
        <w:pStyle w:val="ListBullet"/>
      </w:pPr>
      <w:r w:rsidRPr="00D55C14">
        <w:t>communication system between cage and winder</w:t>
      </w:r>
    </w:p>
    <w:p w:rsidR="00000000" w:rsidRPr="00D55C14" w:rsidP="00D55C14">
      <w:pPr>
        <w:pStyle w:val="ListBullet"/>
      </w:pPr>
      <w:r w:rsidRPr="00D55C14">
        <w:t>isolation and permit-to-work procedures</w:t>
      </w:r>
    </w:p>
    <w:p w:rsidR="00000000" w:rsidRPr="00D55C14" w:rsidP="00D55C14">
      <w:pPr>
        <w:pStyle w:val="ListBullet"/>
      </w:pPr>
      <w:r w:rsidRPr="00D55C14">
        <w:t>mine ventilation system</w:t>
      </w:r>
    </w:p>
    <w:p w:rsidR="00000000" w:rsidRPr="00D55C14" w:rsidP="00D55C14">
      <w:pPr>
        <w:pStyle w:val="ListBullet"/>
      </w:pPr>
      <w:r w:rsidRPr="00D55C14">
        <w:t>site procedures</w:t>
      </w:r>
    </w:p>
    <w:p w:rsidR="00000000" w:rsidRPr="00D55C14" w:rsidP="00D55C14">
      <w:pPr>
        <w:pStyle w:val="ListBullet"/>
      </w:pPr>
      <w:r w:rsidRPr="00D55C14">
        <w:t>in-shaft communication equipment</w:t>
      </w:r>
    </w:p>
    <w:p w:rsidR="00000000" w:rsidRPr="00D55C14" w:rsidP="00D55C14">
      <w:pPr>
        <w:pStyle w:val="AllowPageBreak"/>
      </w:pPr>
    </w:p>
    <w:p w:rsidR="00000000" w:rsidRPr="00D55C14" w:rsidP="00D55C14">
      <w:pPr>
        <w:pStyle w:val="Heading1"/>
      </w:pPr>
      <w:bookmarkStart w:id="4" w:name="O_681076"/>
      <w:bookmarkEnd w:id="4"/>
      <w:r w:rsidRPr="00D55C14">
        <w:t>Assessment Conditions</w:t>
      </w:r>
    </w:p>
    <w:p w:rsidR="00000000" w:rsidRPr="00D55C14" w:rsidP="00D55C14">
      <w:pPr>
        <w:pStyle w:val="ListBullet"/>
      </w:pPr>
      <w:r w:rsidRPr="00D55C14">
        <w:t>An assessor of this unit must satisfy the requirements of the NVR/AQTF or their successors; and Industr</w:t>
      </w:r>
      <w:r w:rsidRPr="00D55C14">
        <w:t xml:space="preserve">y regulations for certification and licensing; and, </w:t>
      </w:r>
    </w:p>
    <w:p w:rsidR="00000000" w:rsidRPr="00D55C14" w:rsidP="00D55C14">
      <w:pPr>
        <w:pStyle w:val="ListBullet"/>
      </w:pPr>
      <w:r w:rsidRPr="00D55C14">
        <w:t>this unit must be assessed in the context of this sector’s work environment; and,</w:t>
      </w:r>
    </w:p>
    <w:p w:rsidR="00000000" w:rsidRPr="00D55C14" w:rsidP="00D55C14">
      <w:pPr>
        <w:pStyle w:val="ListBullet"/>
      </w:pPr>
      <w:r w:rsidRPr="00D55C14">
        <w:t>this unit must be assessed in compliance with relevant legislation/regulation and using policies, procedures, processes a</w:t>
      </w:r>
      <w:r w:rsidRPr="00D55C14">
        <w:t>nd operational manuals directly related to the industry sector for which it is being assessed; and,</w:t>
      </w:r>
    </w:p>
    <w:p w:rsidR="00000000" w:rsidRPr="00D55C14" w:rsidP="00D55C14">
      <w:pPr>
        <w:pStyle w:val="ListBullet"/>
      </w:pPr>
      <w:r w:rsidRPr="00D55C14">
        <w:t>assessment may be conducted in conjunction with the assessment of other Units of Competency; and,</w:t>
      </w:r>
    </w:p>
    <w:p w:rsidR="00000000" w:rsidRPr="00D55C14" w:rsidP="00D55C14">
      <w:pPr>
        <w:pStyle w:val="ListBullet"/>
      </w:pPr>
      <w:r w:rsidRPr="00D55C14">
        <w:t>assessment must confirm consistent performance can be appl</w:t>
      </w:r>
      <w:r w:rsidRPr="00D55C14">
        <w:t>ied in a range of relevant workplace circumstances; and,</w:t>
      </w:r>
    </w:p>
    <w:p w:rsidR="00000000" w:rsidRPr="00D55C14" w:rsidP="00D55C14">
      <w:pPr>
        <w:pStyle w:val="ListBullet"/>
      </w:pPr>
      <w:r w:rsidRPr="00D55C14">
        <w:t>assessors must demonstrate the performance evidence, and knowledge evidence as outlined in this Unit of Competency, and through the minimum years of current* work experience specified below in an Ind</w:t>
      </w:r>
      <w:r w:rsidRPr="00D55C14">
        <w:t>ustry sector relevant to the outcomes of the unit; or,</w:t>
      </w:r>
    </w:p>
    <w:p w:rsidR="00000000" w:rsidRPr="00D55C14" w:rsidP="00D55C14">
      <w:pPr>
        <w:pStyle w:val="ListBullet"/>
      </w:pPr>
      <w:r w:rsidRPr="00D55C14">
        <w:t>where the assessor does not meet experience requirements a co-assessment or partnership arrangement must exist between the qualified assessor and an Industry subject matter expert. The Industry subject</w:t>
      </w:r>
      <w:r w:rsidRPr="00D55C14">
        <w:t xml:space="preserve"> matter expert should hold the unit being assessed (or an equivalent unit) and/or demonstrate equivalence of skills and knowledge at the unit level. An Industry technical expert must also demonstrate skills and knowledge from the minimum years of current w</w:t>
      </w:r>
      <w:r w:rsidRPr="00D55C14">
        <w:t>ork experience specified below in the Industry sector, including time spent in roles related to the unit being assessed; and,</w:t>
      </w:r>
    </w:p>
    <w:p w:rsidR="00000000" w:rsidRPr="00D55C14" w:rsidP="00D55C14">
      <w:pPr>
        <w:pStyle w:val="ListBullet"/>
      </w:pPr>
      <w:r w:rsidRPr="00D55C14">
        <w:t>assessor and Industry subject matter expert requirements differ depending on the Australian Qualifications Framework Level (AQF) o</w:t>
      </w:r>
      <w:r w:rsidRPr="00D55C14">
        <w:t>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SubHeading1"/>
              <w:rPr>
                <w:lang w:val="en-NZ"/>
              </w:rPr>
            </w:pPr>
            <w:r w:rsidRPr="00D55C1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SubHeading1"/>
              <w:rPr>
                <w:lang w:val="en-NZ"/>
              </w:rPr>
            </w:pPr>
            <w:r w:rsidRPr="00D55C1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SubHeading1"/>
              <w:rPr>
                <w:lang w:val="en-NZ"/>
              </w:rPr>
            </w:pPr>
            <w:r w:rsidRPr="00D55C14">
              <w:t>Required assessor or Industry subject matter expert experience</w:t>
            </w:r>
          </w:p>
        </w:tc>
      </w:tr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1 Year</w:t>
            </w:r>
          </w:p>
        </w:tc>
      </w:tr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2 Years</w:t>
            </w:r>
          </w:p>
        </w:tc>
      </w:tr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3 Years</w:t>
            </w:r>
          </w:p>
        </w:tc>
      </w:tr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5 Years</w:t>
            </w:r>
          </w:p>
        </w:tc>
      </w:tr>
      <w:tr w:rsidTr="00D55C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5C14">
            <w:pPr>
              <w:pStyle w:val="BodyText"/>
              <w:rPr>
                <w:lang w:val="en-NZ"/>
              </w:rPr>
            </w:pPr>
            <w:r w:rsidRPr="00D55C1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5C14" w:rsidP="00D55C14">
            <w:pPr>
              <w:pStyle w:val="BodyText"/>
            </w:pPr>
            <w:r w:rsidRPr="00D55C1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55C14">
              <w:t xml:space="preserve">ndard is </w:t>
            </w:r>
            <w:r w:rsidRPr="00D55C14">
              <w:t>specified should comply with any relevant regulation.</w:t>
            </w:r>
          </w:p>
        </w:tc>
      </w:tr>
    </w:tbl>
    <w:p w:rsidR="00000000" w:rsidRPr="00D55C14" w:rsidP="00C439D9">
      <w:pPr>
        <w:pStyle w:val="BodyText"/>
      </w:pPr>
      <w:r w:rsidRPr="00D55C14">
        <w:t>*Assessors can demonstrate current work experience through employment within Industry in a role relevant to the outcomes of the Unit; or, for external assessors this can be demonstrated throu</w:t>
      </w:r>
      <w:r w:rsidRPr="00D55C14">
        <w:t>gh exposure to Industry by conducting frequent site assessments across various locations.</w:t>
      </w:r>
    </w:p>
    <w:p w:rsidR="00C439D9" w:rsidP="00C439D9">
      <w:pPr>
        <w:pStyle w:val="BodyText"/>
      </w:pPr>
      <w:r w:rsidRPr="00D55C14">
        <w:t>**Where a unit is being delivered outside of a Qualification the first numeric character in the Unit code should be considered to indicate the AQF level</w:t>
      </w:r>
    </w:p>
    <w:p w:rsidR="00000000" w:rsidRPr="00D55C14" w:rsidP="00D55C14">
      <w:pPr>
        <w:pStyle w:val="Heading1"/>
      </w:pPr>
      <w:bookmarkStart w:id="5" w:name="O_681088"/>
      <w:bookmarkEnd w:id="5"/>
      <w:r w:rsidRPr="00D55C14">
        <w:t>Links</w:t>
      </w:r>
    </w:p>
    <w:p w:rsidR="00000000" w:rsidRPr="00D55C14" w:rsidP="00C439D9">
      <w:pPr>
        <w:pStyle w:val="BodyText"/>
      </w:pPr>
      <w:r w:rsidRPr="00D55C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344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5C14" w:rsidP="00D55C14"/>
    <w:sectPr w:rsidSect="00D55C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14" w:rsidRPr="00C439D9" w:rsidP="00C43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D9" w:rsidP="00D55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9D9" w:rsidP="00D55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39D9" w:rsidP="00D55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C14" w:rsidRPr="00C439D9" w:rsidP="00C43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D9" w:rsidRPr="002D2AF8" w:rsidP="00D55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RIIUND302D Conduct cage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439D9" w:rsidP="00D55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CA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E8B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A8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C14"/>
  </w:style>
  <w:style w:type="character" w:customStyle="1" w:styleId="Heading1Char">
    <w:name w:val="Heading 1 Char"/>
    <w:basedOn w:val="DefaultParagraphFont"/>
    <w:link w:val="Heading1"/>
    <w:rsid w:val="00D55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C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5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C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C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5C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55C14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D55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C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C14"/>
    <w:rPr>
      <w:b/>
      <w:spacing w:val="0"/>
    </w:rPr>
  </w:style>
  <w:style w:type="paragraph" w:customStyle="1" w:styleId="SuperTitle">
    <w:name w:val="SuperTitle"/>
    <w:basedOn w:val="Title"/>
    <w:rsid w:val="00D55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C14"/>
    <w:rPr>
      <w:i/>
    </w:rPr>
  </w:style>
  <w:style w:type="paragraph" w:styleId="Caption">
    <w:name w:val="caption"/>
    <w:basedOn w:val="BodyText"/>
    <w:next w:val="Normal"/>
    <w:qFormat/>
    <w:rsid w:val="00D55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C14"/>
  </w:style>
  <w:style w:type="paragraph" w:styleId="TableofFigures">
    <w:name w:val="table of figures"/>
    <w:basedOn w:val="Normal"/>
    <w:next w:val="Normal"/>
    <w:semiHidden/>
    <w:rsid w:val="00D55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C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C14"/>
    <w:rPr>
      <w:rFonts w:ascii="Wingdings" w:hAnsi="Wingdings"/>
    </w:rPr>
  </w:style>
  <w:style w:type="paragraph" w:customStyle="1" w:styleId="TableHeading">
    <w:name w:val="Table Heading"/>
    <w:basedOn w:val="HeadingBase"/>
    <w:rsid w:val="00D55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C14"/>
    <w:rPr>
      <w:color w:val="0033CC"/>
      <w:u w:val="none"/>
    </w:rPr>
  </w:style>
  <w:style w:type="paragraph" w:customStyle="1" w:styleId="BodyTextRight">
    <w:name w:val="Body Text Right"/>
    <w:basedOn w:val="BodyText"/>
    <w:rsid w:val="00D55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C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C14"/>
    <w:rPr>
      <w:sz w:val="32"/>
    </w:rPr>
  </w:style>
  <w:style w:type="paragraph" w:customStyle="1" w:styleId="HeadingProcedure">
    <w:name w:val="Heading Procedure"/>
    <w:basedOn w:val="HeadingBase"/>
    <w:next w:val="Normal"/>
    <w:rsid w:val="00D55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C14"/>
    <w:pPr>
      <w:spacing w:before="60" w:after="60"/>
    </w:pPr>
  </w:style>
  <w:style w:type="paragraph" w:styleId="ListContinue">
    <w:name w:val="List Continue"/>
    <w:basedOn w:val="List"/>
    <w:rsid w:val="00D55C14"/>
    <w:pPr>
      <w:ind w:firstLine="0"/>
    </w:pPr>
  </w:style>
  <w:style w:type="paragraph" w:customStyle="1" w:styleId="ListNote">
    <w:name w:val="List Note"/>
    <w:basedOn w:val="List"/>
    <w:rsid w:val="00D55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C14"/>
    <w:rPr>
      <w:rFonts w:ascii="Courier New" w:hAnsi="Courier New"/>
    </w:rPr>
  </w:style>
  <w:style w:type="paragraph" w:customStyle="1" w:styleId="NoteBullet">
    <w:name w:val="Note Bullet"/>
    <w:basedOn w:val="Note"/>
    <w:rsid w:val="00D55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C14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55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C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C14"/>
    <w:rPr>
      <w:b/>
      <w:smallCaps/>
    </w:rPr>
  </w:style>
  <w:style w:type="paragraph" w:customStyle="1" w:styleId="TableListNumber">
    <w:name w:val="Table List Number"/>
    <w:basedOn w:val="ListNumber"/>
    <w:rsid w:val="00D55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C14"/>
    <w:pPr>
      <w:numPr>
        <w:numId w:val="9"/>
      </w:numPr>
    </w:pPr>
  </w:style>
  <w:style w:type="paragraph" w:customStyle="1" w:styleId="ListAlpha2">
    <w:name w:val="List Alpha 2"/>
    <w:basedOn w:val="List2"/>
    <w:rsid w:val="00D55C14"/>
    <w:pPr>
      <w:numPr>
        <w:numId w:val="8"/>
      </w:numPr>
    </w:pPr>
  </w:style>
  <w:style w:type="paragraph" w:styleId="List2">
    <w:name w:val="List 2"/>
    <w:basedOn w:val="BodyText"/>
    <w:rsid w:val="00D55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C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C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C14"/>
    <w:pPr>
      <w:numPr>
        <w:numId w:val="4"/>
      </w:numPr>
    </w:pPr>
  </w:style>
  <w:style w:type="paragraph" w:styleId="ListContinue2">
    <w:name w:val="List Continue 2"/>
    <w:basedOn w:val="List2"/>
    <w:rsid w:val="00D55C14"/>
    <w:pPr>
      <w:ind w:firstLine="0"/>
    </w:pPr>
  </w:style>
  <w:style w:type="paragraph" w:styleId="ListContinue3">
    <w:name w:val="List Continue 3"/>
    <w:basedOn w:val="List3"/>
    <w:rsid w:val="00D55C14"/>
    <w:pPr>
      <w:ind w:left="1021" w:firstLine="0"/>
    </w:pPr>
  </w:style>
  <w:style w:type="paragraph" w:styleId="ListContinue4">
    <w:name w:val="List Continue 4"/>
    <w:basedOn w:val="List4"/>
    <w:rsid w:val="00D55C14"/>
    <w:pPr>
      <w:ind w:firstLine="0"/>
    </w:pPr>
  </w:style>
  <w:style w:type="paragraph" w:styleId="ListContinue5">
    <w:name w:val="List Continue 5"/>
    <w:basedOn w:val="List5"/>
    <w:rsid w:val="00D55C14"/>
    <w:pPr>
      <w:ind w:firstLine="0"/>
    </w:pPr>
  </w:style>
  <w:style w:type="paragraph" w:styleId="ListNumber3">
    <w:name w:val="List Number 3"/>
    <w:basedOn w:val="List3"/>
    <w:rsid w:val="00D55C14"/>
    <w:pPr>
      <w:numPr>
        <w:numId w:val="5"/>
      </w:numPr>
    </w:pPr>
  </w:style>
  <w:style w:type="paragraph" w:styleId="ListNumber4">
    <w:name w:val="List Number 4"/>
    <w:basedOn w:val="List4"/>
    <w:rsid w:val="00D55C14"/>
    <w:pPr>
      <w:numPr>
        <w:numId w:val="6"/>
      </w:numPr>
    </w:pPr>
  </w:style>
  <w:style w:type="paragraph" w:styleId="ListNumber5">
    <w:name w:val="List Number 5"/>
    <w:basedOn w:val="List5"/>
    <w:rsid w:val="00D55C14"/>
    <w:pPr>
      <w:numPr>
        <w:numId w:val="7"/>
      </w:numPr>
    </w:pPr>
  </w:style>
  <w:style w:type="paragraph" w:styleId="BlockText">
    <w:name w:val="Block Text"/>
    <w:basedOn w:val="Normal"/>
    <w:rsid w:val="00D55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C14"/>
    <w:rPr>
      <w:sz w:val="16"/>
      <w:vertAlign w:val="superscript"/>
    </w:rPr>
  </w:style>
  <w:style w:type="character" w:customStyle="1" w:styleId="Symbols">
    <w:name w:val="Symbols"/>
    <w:basedOn w:val="DefaultParagraphFont"/>
    <w:rsid w:val="00D55C14"/>
    <w:rPr>
      <w:rFonts w:ascii="Symbol" w:hAnsi="Symbol"/>
    </w:rPr>
  </w:style>
  <w:style w:type="character" w:customStyle="1" w:styleId="MenuOptions">
    <w:name w:val="Menu Options"/>
    <w:basedOn w:val="DefaultParagraphFont"/>
    <w:rsid w:val="00D55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C14"/>
    <w:rPr>
      <w:b/>
    </w:rPr>
  </w:style>
  <w:style w:type="character" w:customStyle="1" w:styleId="Underlined">
    <w:name w:val="Underlined"/>
    <w:basedOn w:val="DefaultParagraphFont"/>
    <w:rsid w:val="00D55C14"/>
    <w:rPr>
      <w:u w:val="single"/>
    </w:rPr>
  </w:style>
  <w:style w:type="paragraph" w:customStyle="1" w:styleId="TableBodyTextRight">
    <w:name w:val="Table Body Text Right"/>
    <w:basedOn w:val="TableBodyText"/>
    <w:rsid w:val="00D55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C14"/>
    <w:rPr>
      <w:sz w:val="18"/>
    </w:rPr>
  </w:style>
  <w:style w:type="paragraph" w:customStyle="1" w:styleId="BodySmallRight">
    <w:name w:val="Body Small Right"/>
    <w:basedOn w:val="BodyTextRight"/>
    <w:rsid w:val="00D55C14"/>
    <w:rPr>
      <w:sz w:val="18"/>
      <w:szCs w:val="18"/>
    </w:rPr>
  </w:style>
  <w:style w:type="paragraph" w:customStyle="1" w:styleId="MarginEdition">
    <w:name w:val="Margin Edition"/>
    <w:basedOn w:val="MarginNote"/>
    <w:rsid w:val="00D55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C14"/>
    <w:rPr>
      <w:sz w:val="2"/>
      <w:szCs w:val="2"/>
    </w:rPr>
  </w:style>
  <w:style w:type="character" w:customStyle="1" w:styleId="Small">
    <w:name w:val="Small"/>
    <w:basedOn w:val="DefaultParagraphFont"/>
    <w:rsid w:val="00D55C14"/>
    <w:rPr>
      <w:sz w:val="16"/>
    </w:rPr>
  </w:style>
  <w:style w:type="paragraph" w:customStyle="1" w:styleId="WideTable">
    <w:name w:val="Wide Table"/>
    <w:basedOn w:val="Normal"/>
    <w:rsid w:val="00D55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C14"/>
  </w:style>
  <w:style w:type="paragraph" w:styleId="Quote">
    <w:name w:val="Quote"/>
    <w:basedOn w:val="Heading1"/>
    <w:link w:val="QuoteChar"/>
    <w:qFormat/>
    <w:rsid w:val="00D55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C14"/>
    <w:pPr>
      <w:pageBreakBefore/>
    </w:pPr>
  </w:style>
  <w:style w:type="paragraph" w:customStyle="1" w:styleId="Border">
    <w:name w:val="Border"/>
    <w:basedOn w:val="Normal"/>
    <w:qFormat/>
    <w:rsid w:val="00D55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C14"/>
    <w:rPr>
      <w:u w:val="single"/>
    </w:rPr>
  </w:style>
  <w:style w:type="character" w:customStyle="1" w:styleId="BoldandItalics">
    <w:name w:val="Bold and Italics"/>
    <w:qFormat/>
    <w:rsid w:val="00D55C14"/>
    <w:rPr>
      <w:b/>
      <w:i/>
      <w:u w:val="none"/>
    </w:rPr>
  </w:style>
  <w:style w:type="paragraph" w:styleId="BalloonText">
    <w:name w:val="Balloon Text"/>
    <w:basedOn w:val="Normal"/>
    <w:link w:val="BalloonTextChar"/>
    <w:rsid w:val="00D55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C14"/>
    <w:pPr>
      <w:spacing w:before="0" w:after="0"/>
    </w:pPr>
  </w:style>
  <w:style w:type="paragraph" w:customStyle="1" w:styleId="BodyTextBold">
    <w:name w:val="Body Text Bold"/>
    <w:basedOn w:val="BodyText"/>
    <w:qFormat/>
    <w:rsid w:val="00D55C14"/>
    <w:rPr>
      <w:b/>
    </w:rPr>
  </w:style>
  <w:style w:type="character" w:styleId="Hyperlink">
    <w:name w:val="Hyperlink"/>
    <w:basedOn w:val="DefaultParagraphFont"/>
    <w:uiPriority w:val="99"/>
    <w:unhideWhenUsed/>
    <w:rsid w:val="00C43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4262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RIIUND302D Conduct cage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2021-01-25T11:43:00Z</dcterms:created>
  <dcterms:modified xsi:type="dcterms:W3CDTF">2021-01-25T11:43:00Z</dcterms:modified>
</cp:coreProperties>
</file>