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3DD" w:rsidP="009D53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RIISRM501D Implement the stockpile management plan</w:t>
      </w:r>
      <w:r>
        <w:fldChar w:fldCharType="end"/>
      </w:r>
    </w:p>
    <w:p w:rsidR="009D53DD" w:rsidP="009D53DD">
      <w:pPr>
        <w:pStyle w:val="Version"/>
        <w:sectPr w:rsidSect="00D33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3DD1" w:rsidP="00D33DD1">
      <w:pPr>
        <w:pStyle w:val="SuperHeading"/>
      </w:pPr>
      <w:r w:rsidRPr="00D33DD1">
        <w:t>Assessment Requirements for RIISRM501D Implement the stockpile management plan</w:t>
      </w:r>
    </w:p>
    <w:p w:rsidR="00000000" w:rsidRPr="00D33DD1" w:rsidP="00D33DD1">
      <w:pPr>
        <w:pStyle w:val="Heading1"/>
      </w:pPr>
      <w:bookmarkStart w:id="1" w:name="O_684191"/>
      <w:bookmarkEnd w:id="1"/>
      <w:r w:rsidRPr="00D33DD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D5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D1">
            <w:pPr>
              <w:pStyle w:val="Heading4"/>
              <w:rPr>
                <w:lang w:val="en-NZ"/>
              </w:rPr>
            </w:pPr>
            <w:r w:rsidRPr="00D33DD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D1">
            <w:pPr>
              <w:pStyle w:val="Heading4"/>
              <w:rPr>
                <w:lang w:val="en-NZ"/>
              </w:rPr>
            </w:pPr>
            <w:r w:rsidRPr="00D33DD1">
              <w:t>Comment</w:t>
            </w:r>
          </w:p>
        </w:tc>
      </w:tr>
      <w:tr w:rsidTr="009D53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This unit replaces RIISRM501A Implement the stockpile management plan</w:t>
            </w:r>
          </w:p>
        </w:tc>
      </w:tr>
      <w:tr w:rsidTr="009D53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DD1" w:rsidP="00D33DD1">
            <w:pPr>
              <w:pStyle w:val="BodyText"/>
            </w:pPr>
            <w:r w:rsidRPr="00D33DD1">
              <w:t>Required frequency and volume of evidence amended in Performance evidence.</w:t>
            </w:r>
          </w:p>
          <w:p w:rsidR="00000000" w:rsidRPr="00D33DD1" w:rsidP="00D33DD1">
            <w:pPr>
              <w:pStyle w:val="BodyText"/>
            </w:pPr>
            <w:r w:rsidRPr="00D33DD1">
              <w:t>Substantial amendments made in Assessment Conditions field, including: references to Industry Sectors, assessor and subject matter expert experience requirements, how assessment sho</w:t>
            </w:r>
            <w:r w:rsidRPr="00D33DD1">
              <w:t>uld be conducted and what it should confirm.</w:t>
            </w:r>
          </w:p>
        </w:tc>
      </w:tr>
    </w:tbl>
    <w:p w:rsidR="00000000" w:rsidRPr="00D33DD1" w:rsidP="00D33DD1">
      <w:pPr>
        <w:pStyle w:val="BodyText"/>
      </w:pPr>
    </w:p>
    <w:p w:rsidR="00000000" w:rsidRPr="00D33DD1" w:rsidP="00D33DD1">
      <w:pPr>
        <w:pStyle w:val="AllowPageBreak"/>
      </w:pPr>
    </w:p>
    <w:p w:rsidR="00000000" w:rsidRPr="00D33DD1" w:rsidP="00D33DD1">
      <w:pPr>
        <w:pStyle w:val="Heading1"/>
      </w:pPr>
      <w:bookmarkStart w:id="2" w:name="O_684190"/>
      <w:bookmarkEnd w:id="2"/>
      <w:r w:rsidRPr="00D33DD1">
        <w:t>Performance Evidence</w:t>
      </w:r>
    </w:p>
    <w:p w:rsidR="00000000" w:rsidRPr="00D33DD1" w:rsidP="009D53DD">
      <w:pPr>
        <w:pStyle w:val="BodyText"/>
      </w:pPr>
      <w:r w:rsidRPr="00D33DD1">
        <w:t>Evidence is required to be collected that demonstrates a candidate’s competency in this unit. Evidence must be relevant to the roles within this sector’</w:t>
      </w:r>
      <w:r w:rsidRPr="00D33DD1">
        <w:t>s work operations and satisfy all of the requirements of the performance criteria of this unit and include evidence that the candidate:</w:t>
      </w:r>
    </w:p>
    <w:p w:rsidR="00000000" w:rsidRPr="00D33DD1" w:rsidP="00D33DD1">
      <w:pPr>
        <w:pStyle w:val="ListBullet2"/>
      </w:pPr>
      <w:r w:rsidRPr="00D33DD1">
        <w:t>locates and applies relevant legislation, documentation, policies and procedures</w:t>
      </w:r>
    </w:p>
    <w:p w:rsidR="00000000" w:rsidRPr="00D33DD1" w:rsidP="00D33DD1">
      <w:pPr>
        <w:pStyle w:val="ListBullet2"/>
      </w:pPr>
      <w:r w:rsidRPr="00D33DD1">
        <w:t>works effectively with others to under</w:t>
      </w:r>
      <w:r w:rsidRPr="00D33DD1">
        <w:t>take and effective implementation of the site stockpile management plan to meet all required outcomes including:</w:t>
      </w:r>
    </w:p>
    <w:p w:rsidR="00000000" w:rsidRPr="00D33DD1" w:rsidP="00D33DD1">
      <w:pPr>
        <w:pStyle w:val="ListBullet3"/>
      </w:pPr>
      <w:r w:rsidRPr="00D33DD1">
        <w:t>preparing for and organising work activities to meet all task requirements</w:t>
      </w:r>
    </w:p>
    <w:p w:rsidR="00000000" w:rsidRPr="00D33DD1" w:rsidP="00D33DD1">
      <w:pPr>
        <w:pStyle w:val="ListBullet3"/>
      </w:pPr>
      <w:r w:rsidRPr="00D33DD1">
        <w:t>communicating clearly and concisely with others to issue and clarif</w:t>
      </w:r>
      <w:r w:rsidRPr="00D33DD1">
        <w:t>y work instructions</w:t>
      </w:r>
    </w:p>
    <w:p w:rsidR="00000000" w:rsidRPr="00D33DD1" w:rsidP="00D33DD1">
      <w:pPr>
        <w:pStyle w:val="ListBullet3"/>
      </w:pPr>
      <w:r w:rsidRPr="00D33DD1">
        <w:t>using a range of communication techniques and aids to advise others of work activity and exclusion zones</w:t>
      </w:r>
    </w:p>
    <w:p w:rsidR="00000000" w:rsidRPr="00D33DD1" w:rsidP="00D33DD1">
      <w:pPr>
        <w:pStyle w:val="ListBullet2"/>
      </w:pPr>
      <w:r w:rsidRPr="00D33DD1">
        <w:t>demonstrates completion of the implementation of the site stockpile management plan that safely, effectively and efficiently meets</w:t>
      </w:r>
      <w:r w:rsidRPr="00D33DD1">
        <w:t xml:space="preserve"> all of the required outcomes on more than one (1) occasion including:</w:t>
      </w:r>
    </w:p>
    <w:p w:rsidR="00000000" w:rsidRPr="00D33DD1" w:rsidP="00D33DD1">
      <w:pPr>
        <w:pStyle w:val="ListBullet3"/>
      </w:pPr>
      <w:r w:rsidRPr="00D33DD1">
        <w:t xml:space="preserve">communicating with international and external stakeholders to contribute to the implementation of the stockpile management plan </w:t>
      </w:r>
    </w:p>
    <w:p w:rsidR="00000000" w:rsidRPr="00D33DD1" w:rsidP="00D33DD1">
      <w:pPr>
        <w:pStyle w:val="ListBullet3"/>
      </w:pPr>
      <w:r w:rsidRPr="00D33DD1">
        <w:t>allocating and communicating roles and responsibilities</w:t>
      </w:r>
      <w:r w:rsidRPr="00D33DD1">
        <w:t xml:space="preserve"> to team members </w:t>
      </w:r>
    </w:p>
    <w:p w:rsidR="00000000" w:rsidRPr="00D33DD1" w:rsidP="00D33DD1">
      <w:pPr>
        <w:pStyle w:val="ListBullet3"/>
      </w:pPr>
      <w:r w:rsidRPr="00D33DD1">
        <w:t xml:space="preserve">implementing stockpile management plan </w:t>
      </w:r>
    </w:p>
    <w:p w:rsidR="00000000" w:rsidRPr="00D33DD1" w:rsidP="00D33DD1">
      <w:pPr>
        <w:pStyle w:val="ListBullet3"/>
      </w:pPr>
      <w:r w:rsidRPr="00D33DD1">
        <w:t xml:space="preserve">preparing and communicating operational budgets </w:t>
      </w:r>
    </w:p>
    <w:p w:rsidR="00000000" w:rsidRPr="00D33DD1" w:rsidP="00D33DD1">
      <w:pPr>
        <w:pStyle w:val="ListBullet3"/>
      </w:pPr>
      <w:r w:rsidRPr="00D33DD1">
        <w:t xml:space="preserve">monitoring plan implementation and implement changes for improvement of production </w:t>
      </w:r>
    </w:p>
    <w:p w:rsidR="00000000" w:rsidRPr="00D33DD1" w:rsidP="00D33DD1">
      <w:pPr>
        <w:pStyle w:val="ListBullet3"/>
      </w:pPr>
      <w:r w:rsidRPr="00D33DD1">
        <w:t>processing written records and reports</w:t>
      </w:r>
    </w:p>
    <w:p w:rsidR="00000000" w:rsidRPr="00D33DD1" w:rsidP="00D33DD1">
      <w:pPr>
        <w:pStyle w:val="AllowPageBreak"/>
      </w:pPr>
    </w:p>
    <w:p w:rsidR="00000000" w:rsidRPr="00D33DD1" w:rsidP="00D33DD1">
      <w:pPr>
        <w:pStyle w:val="Heading1"/>
      </w:pPr>
      <w:bookmarkStart w:id="3" w:name="O_684189"/>
      <w:bookmarkEnd w:id="3"/>
      <w:r w:rsidRPr="00D33DD1">
        <w:t>Knowledge</w:t>
      </w:r>
      <w:r w:rsidRPr="00D33DD1">
        <w:t xml:space="preserve"> Evidence</w:t>
      </w:r>
    </w:p>
    <w:p w:rsidR="00000000" w:rsidRPr="00D33DD1" w:rsidP="009D53DD">
      <w:pPr>
        <w:pStyle w:val="BodyText"/>
      </w:pPr>
      <w:r w:rsidRPr="00D33DD1">
        <w:t>The candidate must demonstrate knowledge of implementing the stockpile management plan through:</w:t>
      </w:r>
    </w:p>
    <w:p w:rsidR="00000000" w:rsidRPr="00D33DD1" w:rsidP="00D33DD1">
      <w:pPr>
        <w:pStyle w:val="ListBullet2"/>
      </w:pPr>
      <w:r w:rsidRPr="00D33DD1">
        <w:t>roles and responsibilities of relevant personnel involved in the implementation of the stockpile management plan</w:t>
      </w:r>
    </w:p>
    <w:p w:rsidR="00000000" w:rsidRPr="00D33DD1" w:rsidP="00D33DD1">
      <w:pPr>
        <w:pStyle w:val="ListBullet2"/>
      </w:pPr>
      <w:r w:rsidRPr="00D33DD1">
        <w:t>action planning methods</w:t>
      </w:r>
    </w:p>
    <w:p w:rsidR="00000000" w:rsidRPr="00D33DD1" w:rsidP="00D33DD1">
      <w:pPr>
        <w:pStyle w:val="ListBullet2"/>
      </w:pPr>
      <w:r w:rsidRPr="00D33DD1">
        <w:t>work procedu</w:t>
      </w:r>
      <w:r w:rsidRPr="00D33DD1">
        <w:t>re and instruction documentation requirements</w:t>
      </w:r>
    </w:p>
    <w:p w:rsidR="00000000" w:rsidRPr="00D33DD1" w:rsidP="00D33DD1">
      <w:pPr>
        <w:pStyle w:val="ListBullet2"/>
      </w:pPr>
      <w:r w:rsidRPr="00D33DD1">
        <w:t>hazard identification and risk assessment processes</w:t>
      </w:r>
    </w:p>
    <w:p w:rsidR="00000000" w:rsidRPr="00D33DD1" w:rsidP="00D33DD1">
      <w:pPr>
        <w:pStyle w:val="ListBullet2"/>
      </w:pPr>
      <w:r w:rsidRPr="00D33DD1">
        <w:t>writing reports to communicate procedural activity, breach or inadequacies to procedure and review process</w:t>
      </w:r>
    </w:p>
    <w:p w:rsidR="00000000" w:rsidRPr="00D33DD1" w:rsidP="00D33DD1">
      <w:pPr>
        <w:pStyle w:val="ListBullet2"/>
      </w:pPr>
      <w:r w:rsidRPr="00D33DD1">
        <w:t>accessing, interpreting and communicating data such</w:t>
      </w:r>
      <w:r w:rsidRPr="00D33DD1">
        <w:t xml:space="preserve"> as; geological, geotechnical, hydrogeological, hydrological, survey</w:t>
      </w:r>
    </w:p>
    <w:p w:rsidR="00000000" w:rsidRPr="00D33DD1" w:rsidP="00D33DD1">
      <w:pPr>
        <w:pStyle w:val="ListBullet2"/>
      </w:pPr>
      <w:r w:rsidRPr="00D33DD1">
        <w:t>stockpile management plan options, procedures and operational techniques required for execution of the plan</w:t>
      </w:r>
    </w:p>
    <w:p w:rsidR="00000000" w:rsidRPr="00D33DD1" w:rsidP="00D33DD1">
      <w:pPr>
        <w:pStyle w:val="ListBullet2"/>
      </w:pPr>
      <w:r w:rsidRPr="00D33DD1">
        <w:t>plant and equipment capabilities and limitations</w:t>
      </w:r>
    </w:p>
    <w:p w:rsidR="00000000" w:rsidRPr="00D33DD1" w:rsidP="00D33DD1">
      <w:pPr>
        <w:pStyle w:val="ListBullet2"/>
      </w:pPr>
      <w:r w:rsidRPr="00D33DD1">
        <w:t>management of work teams, work</w:t>
      </w:r>
      <w:r w:rsidRPr="00D33DD1">
        <w:t xml:space="preserve"> group planning and team leadership</w:t>
      </w:r>
    </w:p>
    <w:p w:rsidR="00000000" w:rsidRPr="00D33DD1" w:rsidP="00D33DD1">
      <w:pPr>
        <w:pStyle w:val="ListBullet2"/>
      </w:pPr>
      <w:r w:rsidRPr="00D33DD1">
        <w:t>emergency response and evacuation planning processes and techniques</w:t>
      </w:r>
    </w:p>
    <w:p w:rsidR="00000000" w:rsidRPr="00D33DD1" w:rsidP="00D33DD1">
      <w:pPr>
        <w:pStyle w:val="AllowPageBreak"/>
      </w:pPr>
    </w:p>
    <w:p w:rsidR="00000000" w:rsidRPr="00D33DD1" w:rsidP="00D33DD1">
      <w:pPr>
        <w:pStyle w:val="Heading1"/>
      </w:pPr>
      <w:bookmarkStart w:id="4" w:name="O_684188"/>
      <w:bookmarkEnd w:id="4"/>
      <w:r w:rsidRPr="00D33DD1">
        <w:t>Assessment Conditions</w:t>
      </w:r>
    </w:p>
    <w:p w:rsidR="00000000" w:rsidRPr="00D33DD1" w:rsidP="00D33DD1">
      <w:pPr>
        <w:pStyle w:val="ListBullet"/>
      </w:pPr>
      <w:r w:rsidRPr="00D33DD1">
        <w:t xml:space="preserve">An assessor of this unit must satisfy the requirements of the NVR/AQTF or their successors; </w:t>
      </w:r>
      <w:r w:rsidRPr="00D33DD1">
        <w:t xml:space="preserve">and Industry regulations for certification and licensing; and, </w:t>
      </w:r>
    </w:p>
    <w:p w:rsidR="00000000" w:rsidRPr="00D33DD1" w:rsidP="00D33DD1">
      <w:pPr>
        <w:pStyle w:val="ListBullet"/>
      </w:pPr>
      <w:r w:rsidRPr="00D33DD1">
        <w:t>this unit must be assessed in the context of this sector’s work environment; and,</w:t>
      </w:r>
    </w:p>
    <w:p w:rsidR="00000000" w:rsidRPr="00D33DD1" w:rsidP="00D33DD1">
      <w:pPr>
        <w:pStyle w:val="ListBullet"/>
      </w:pPr>
      <w:r w:rsidRPr="00D33DD1">
        <w:t xml:space="preserve">this unit must be assessed in compliance with relevant legislation/regulation and using policies, procedures, </w:t>
      </w:r>
      <w:r w:rsidRPr="00D33DD1">
        <w:t>processes and operational manuals directly related to the industry sector for which it is being assessed; and,</w:t>
      </w:r>
    </w:p>
    <w:p w:rsidR="00000000" w:rsidRPr="00D33DD1" w:rsidP="00D33DD1">
      <w:pPr>
        <w:pStyle w:val="ListBullet"/>
      </w:pPr>
      <w:r w:rsidRPr="00D33DD1">
        <w:t>assessment may be conducted in conjunction with the assessment of other Units of Competency; and,</w:t>
      </w:r>
    </w:p>
    <w:p w:rsidR="00000000" w:rsidRPr="00D33DD1" w:rsidP="00D33DD1">
      <w:pPr>
        <w:pStyle w:val="ListBullet"/>
      </w:pPr>
      <w:r w:rsidRPr="00D33DD1">
        <w:t xml:space="preserve">assessment must confirm consistent performance </w:t>
      </w:r>
      <w:r w:rsidRPr="00D33DD1">
        <w:t>can be applied in a range of relevant workplace circumstances; and,</w:t>
      </w:r>
    </w:p>
    <w:p w:rsidR="00000000" w:rsidRPr="00D33DD1" w:rsidP="00D33DD1">
      <w:pPr>
        <w:pStyle w:val="ListBullet"/>
      </w:pPr>
      <w:r w:rsidRPr="00D33DD1">
        <w:t>assessors must demonstrate the performance evidence, and knowledge evidence as outlined in this Unit of Competency, and through the minimum years of current* work experience specified belo</w:t>
      </w:r>
      <w:r w:rsidRPr="00D33DD1">
        <w:t>w in an Industry sector relevant to the outcomes of the unit; or,</w:t>
      </w:r>
    </w:p>
    <w:p w:rsidR="00000000" w:rsidRPr="00D33DD1" w:rsidP="00D33DD1">
      <w:pPr>
        <w:pStyle w:val="ListBullet"/>
      </w:pPr>
      <w:r w:rsidRPr="00D33DD1">
        <w:t>where the assessor does not meet experience requirements a co-assessment or partnership arrangement must exist between the qualified assessor and an Industry subject matter expert. The Indus</w:t>
      </w:r>
      <w:r w:rsidRPr="00D33DD1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D33DD1">
        <w:t>f current work experience specified below in the Industry sector, including time spent in roles related to the unit being assessed; and,</w:t>
      </w:r>
    </w:p>
    <w:p w:rsidR="00000000" w:rsidRPr="00D33DD1" w:rsidP="00D33DD1">
      <w:pPr>
        <w:pStyle w:val="ListBullet"/>
      </w:pPr>
      <w:r w:rsidRPr="00D33DD1">
        <w:t>assessor and Industry subject matter expert requirements differ depending on the Australian Qualifications Framework Le</w:t>
      </w:r>
      <w:r w:rsidRPr="00D33DD1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33D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SubHeading1"/>
              <w:rPr>
                <w:lang w:val="en-NZ"/>
              </w:rPr>
            </w:pPr>
            <w:r w:rsidRPr="00D33DD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SubHeading1"/>
              <w:rPr>
                <w:lang w:val="en-NZ"/>
              </w:rPr>
            </w:pPr>
            <w:r w:rsidRPr="00D33DD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SubHeading1"/>
              <w:rPr>
                <w:lang w:val="en-NZ"/>
              </w:rPr>
            </w:pPr>
            <w:r w:rsidRPr="00D33DD1">
              <w:t>Required assessor or Industry subject matter expert experience</w:t>
            </w:r>
          </w:p>
        </w:tc>
      </w:tr>
      <w:tr w:rsidTr="00D33D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1 Year</w:t>
            </w:r>
          </w:p>
        </w:tc>
      </w:tr>
      <w:tr w:rsidTr="00D33D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2 Years</w:t>
            </w:r>
          </w:p>
        </w:tc>
      </w:tr>
      <w:tr w:rsidTr="00D33D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3 Years</w:t>
            </w:r>
          </w:p>
        </w:tc>
      </w:tr>
      <w:tr w:rsidTr="00D33D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5 Years</w:t>
            </w:r>
          </w:p>
        </w:tc>
      </w:tr>
      <w:tr w:rsidTr="00D33DD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DD1">
            <w:pPr>
              <w:pStyle w:val="BodyText"/>
              <w:rPr>
                <w:lang w:val="en-NZ"/>
              </w:rPr>
            </w:pPr>
            <w:r w:rsidRPr="00D33DD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3DD1" w:rsidP="00D33DD1">
            <w:pPr>
              <w:pStyle w:val="BodyText"/>
            </w:pPr>
            <w:r w:rsidRPr="00D33DD1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33DD1">
              <w:t>ndard is specified should comply with any relevant regulation.</w:t>
            </w:r>
          </w:p>
        </w:tc>
      </w:tr>
    </w:tbl>
    <w:p w:rsidR="00000000" w:rsidRPr="00D33DD1" w:rsidP="009D53DD">
      <w:pPr>
        <w:pStyle w:val="BodyText"/>
      </w:pPr>
      <w:r w:rsidRPr="00D33DD1">
        <w:t xml:space="preserve">*Assessors can demonstrate current work experience through employment within Industry in a role relevant to the outcomes of the Unit; or, for external </w:t>
      </w:r>
      <w:r w:rsidRPr="00D33DD1">
        <w:t>assessors this can be demonstrated through exposure to Industry by conducting frequent site assessments across various locations.</w:t>
      </w:r>
    </w:p>
    <w:p w:rsidR="00000000" w:rsidRPr="00D33DD1" w:rsidP="009D53DD">
      <w:pPr>
        <w:pStyle w:val="BodyText"/>
      </w:pPr>
      <w:r w:rsidRPr="00D33DD1">
        <w:t>**Where a unit is being delivered outside of a Qualification the first numeric character in the Unit code should be considered</w:t>
      </w:r>
      <w:r w:rsidRPr="00D33DD1">
        <w:t xml:space="preserve"> to indicate the AQF level</w:t>
      </w:r>
    </w:p>
    <w:p w:rsidR="00000000" w:rsidRPr="00D33DD1" w:rsidP="00D33DD1">
      <w:pPr>
        <w:pStyle w:val="Heading1"/>
      </w:pPr>
      <w:bookmarkStart w:id="5" w:name="O_684217"/>
      <w:bookmarkEnd w:id="5"/>
      <w:r w:rsidRPr="00D33DD1">
        <w:t>Links</w:t>
      </w:r>
    </w:p>
    <w:p w:rsidR="00000000" w:rsidRPr="00D33DD1" w:rsidP="009D53DD">
      <w:pPr>
        <w:pStyle w:val="BodyText"/>
      </w:pPr>
      <w:r w:rsidRPr="00D33D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009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33DD1" w:rsidP="00D33DD1"/>
    <w:sectPr w:rsidSect="00D33D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D1" w:rsidRPr="009D53DD" w:rsidP="009D53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DD" w:rsidP="00D33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3DD" w:rsidP="00D33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53DD" w:rsidP="00D33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DD1" w:rsidRPr="009D53DD" w:rsidP="009D53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DD" w:rsidRPr="002D2AF8" w:rsidP="00D33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RIISRM501D Implement the stockpile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D53DD" w:rsidP="00D33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1A9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2C6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A47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DD1"/>
  </w:style>
  <w:style w:type="character" w:customStyle="1" w:styleId="Heading1Char">
    <w:name w:val="Heading 1 Char"/>
    <w:basedOn w:val="DefaultParagraphFont"/>
    <w:link w:val="Heading1"/>
    <w:rsid w:val="00D33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DD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33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D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3D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3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D33DD1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D33D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3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3DD1"/>
    <w:rPr>
      <w:b/>
      <w:spacing w:val="0"/>
    </w:rPr>
  </w:style>
  <w:style w:type="paragraph" w:customStyle="1" w:styleId="SuperTitle">
    <w:name w:val="SuperTitle"/>
    <w:basedOn w:val="Title"/>
    <w:rsid w:val="00D33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DD1"/>
    <w:rPr>
      <w:i/>
    </w:rPr>
  </w:style>
  <w:style w:type="paragraph" w:styleId="Caption">
    <w:name w:val="caption"/>
    <w:basedOn w:val="BodyText"/>
    <w:next w:val="Normal"/>
    <w:qFormat/>
    <w:rsid w:val="00D33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DD1"/>
  </w:style>
  <w:style w:type="paragraph" w:styleId="TableofFigures">
    <w:name w:val="table of figures"/>
    <w:basedOn w:val="Normal"/>
    <w:next w:val="Normal"/>
    <w:semiHidden/>
    <w:rsid w:val="00D33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D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3DD1"/>
    <w:rPr>
      <w:rFonts w:ascii="Wingdings" w:hAnsi="Wingdings"/>
    </w:rPr>
  </w:style>
  <w:style w:type="paragraph" w:customStyle="1" w:styleId="TableHeading">
    <w:name w:val="Table Heading"/>
    <w:basedOn w:val="HeadingBase"/>
    <w:rsid w:val="00D33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DD1"/>
    <w:rPr>
      <w:color w:val="0033CC"/>
      <w:u w:val="none"/>
    </w:rPr>
  </w:style>
  <w:style w:type="paragraph" w:customStyle="1" w:styleId="BodyTextRight">
    <w:name w:val="Body Text Right"/>
    <w:basedOn w:val="BodyText"/>
    <w:rsid w:val="00D33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D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DD1"/>
    <w:rPr>
      <w:sz w:val="32"/>
    </w:rPr>
  </w:style>
  <w:style w:type="paragraph" w:customStyle="1" w:styleId="HeadingProcedure">
    <w:name w:val="Heading Procedure"/>
    <w:basedOn w:val="HeadingBase"/>
    <w:next w:val="Normal"/>
    <w:rsid w:val="00D33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DD1"/>
    <w:pPr>
      <w:spacing w:before="60" w:after="60"/>
    </w:pPr>
  </w:style>
  <w:style w:type="paragraph" w:styleId="ListContinue">
    <w:name w:val="List Continue"/>
    <w:basedOn w:val="List"/>
    <w:rsid w:val="00D33DD1"/>
    <w:pPr>
      <w:ind w:firstLine="0"/>
    </w:pPr>
  </w:style>
  <w:style w:type="paragraph" w:customStyle="1" w:styleId="ListNote">
    <w:name w:val="List Note"/>
    <w:basedOn w:val="List"/>
    <w:rsid w:val="00D33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DD1"/>
    <w:rPr>
      <w:rFonts w:ascii="Courier New" w:hAnsi="Courier New"/>
    </w:rPr>
  </w:style>
  <w:style w:type="paragraph" w:customStyle="1" w:styleId="NoteBullet">
    <w:name w:val="Note Bullet"/>
    <w:basedOn w:val="Note"/>
    <w:rsid w:val="00D33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DD1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D33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D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3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DD1"/>
    <w:rPr>
      <w:b/>
      <w:smallCaps/>
    </w:rPr>
  </w:style>
  <w:style w:type="paragraph" w:customStyle="1" w:styleId="TableListNumber">
    <w:name w:val="Table List Number"/>
    <w:basedOn w:val="ListNumber"/>
    <w:rsid w:val="00D33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DD1"/>
    <w:pPr>
      <w:numPr>
        <w:numId w:val="10"/>
      </w:numPr>
    </w:pPr>
  </w:style>
  <w:style w:type="paragraph" w:customStyle="1" w:styleId="ListAlpha2">
    <w:name w:val="List Alpha 2"/>
    <w:basedOn w:val="List2"/>
    <w:rsid w:val="00D33DD1"/>
    <w:pPr>
      <w:numPr>
        <w:numId w:val="9"/>
      </w:numPr>
    </w:pPr>
  </w:style>
  <w:style w:type="paragraph" w:styleId="List2">
    <w:name w:val="List 2"/>
    <w:basedOn w:val="BodyText"/>
    <w:rsid w:val="00D33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D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3D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3DD1"/>
    <w:pPr>
      <w:numPr>
        <w:numId w:val="5"/>
      </w:numPr>
    </w:pPr>
  </w:style>
  <w:style w:type="paragraph" w:styleId="ListContinue2">
    <w:name w:val="List Continue 2"/>
    <w:basedOn w:val="List2"/>
    <w:rsid w:val="00D33DD1"/>
    <w:pPr>
      <w:ind w:firstLine="0"/>
    </w:pPr>
  </w:style>
  <w:style w:type="paragraph" w:styleId="ListContinue3">
    <w:name w:val="List Continue 3"/>
    <w:basedOn w:val="List3"/>
    <w:rsid w:val="00D33DD1"/>
    <w:pPr>
      <w:ind w:left="1021" w:firstLine="0"/>
    </w:pPr>
  </w:style>
  <w:style w:type="paragraph" w:styleId="ListContinue4">
    <w:name w:val="List Continue 4"/>
    <w:basedOn w:val="List4"/>
    <w:rsid w:val="00D33DD1"/>
    <w:pPr>
      <w:ind w:firstLine="0"/>
    </w:pPr>
  </w:style>
  <w:style w:type="paragraph" w:styleId="ListContinue5">
    <w:name w:val="List Continue 5"/>
    <w:basedOn w:val="List5"/>
    <w:rsid w:val="00D33DD1"/>
    <w:pPr>
      <w:ind w:firstLine="0"/>
    </w:pPr>
  </w:style>
  <w:style w:type="paragraph" w:styleId="ListNumber3">
    <w:name w:val="List Number 3"/>
    <w:basedOn w:val="List3"/>
    <w:rsid w:val="00D33DD1"/>
    <w:pPr>
      <w:numPr>
        <w:numId w:val="6"/>
      </w:numPr>
    </w:pPr>
  </w:style>
  <w:style w:type="paragraph" w:styleId="ListNumber4">
    <w:name w:val="List Number 4"/>
    <w:basedOn w:val="List4"/>
    <w:rsid w:val="00D33DD1"/>
    <w:pPr>
      <w:numPr>
        <w:numId w:val="7"/>
      </w:numPr>
    </w:pPr>
  </w:style>
  <w:style w:type="paragraph" w:styleId="ListNumber5">
    <w:name w:val="List Number 5"/>
    <w:basedOn w:val="List5"/>
    <w:rsid w:val="00D33DD1"/>
    <w:pPr>
      <w:numPr>
        <w:numId w:val="8"/>
      </w:numPr>
    </w:pPr>
  </w:style>
  <w:style w:type="paragraph" w:styleId="BlockText">
    <w:name w:val="Block Text"/>
    <w:basedOn w:val="Normal"/>
    <w:rsid w:val="00D33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DD1"/>
    <w:rPr>
      <w:sz w:val="16"/>
      <w:vertAlign w:val="superscript"/>
    </w:rPr>
  </w:style>
  <w:style w:type="character" w:customStyle="1" w:styleId="Symbols">
    <w:name w:val="Symbols"/>
    <w:basedOn w:val="DefaultParagraphFont"/>
    <w:rsid w:val="00D33DD1"/>
    <w:rPr>
      <w:rFonts w:ascii="Symbol" w:hAnsi="Symbol"/>
    </w:rPr>
  </w:style>
  <w:style w:type="character" w:customStyle="1" w:styleId="MenuOptions">
    <w:name w:val="Menu Options"/>
    <w:basedOn w:val="DefaultParagraphFont"/>
    <w:rsid w:val="00D33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DD1"/>
    <w:rPr>
      <w:b/>
    </w:rPr>
  </w:style>
  <w:style w:type="character" w:customStyle="1" w:styleId="Underlined">
    <w:name w:val="Underlined"/>
    <w:basedOn w:val="DefaultParagraphFont"/>
    <w:rsid w:val="00D33DD1"/>
    <w:rPr>
      <w:u w:val="single"/>
    </w:rPr>
  </w:style>
  <w:style w:type="paragraph" w:customStyle="1" w:styleId="TableBodyTextRight">
    <w:name w:val="Table Body Text Right"/>
    <w:basedOn w:val="TableBodyText"/>
    <w:rsid w:val="00D33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DD1"/>
    <w:rPr>
      <w:sz w:val="18"/>
    </w:rPr>
  </w:style>
  <w:style w:type="paragraph" w:customStyle="1" w:styleId="BodySmallRight">
    <w:name w:val="Body Small Right"/>
    <w:basedOn w:val="BodyTextRight"/>
    <w:rsid w:val="00D33DD1"/>
    <w:rPr>
      <w:sz w:val="18"/>
      <w:szCs w:val="18"/>
    </w:rPr>
  </w:style>
  <w:style w:type="paragraph" w:customStyle="1" w:styleId="MarginEdition">
    <w:name w:val="Margin Edition"/>
    <w:basedOn w:val="MarginNote"/>
    <w:rsid w:val="00D33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DD1"/>
    <w:rPr>
      <w:sz w:val="2"/>
      <w:szCs w:val="2"/>
    </w:rPr>
  </w:style>
  <w:style w:type="character" w:customStyle="1" w:styleId="Small">
    <w:name w:val="Small"/>
    <w:basedOn w:val="DefaultParagraphFont"/>
    <w:rsid w:val="00D33DD1"/>
    <w:rPr>
      <w:sz w:val="16"/>
    </w:rPr>
  </w:style>
  <w:style w:type="paragraph" w:customStyle="1" w:styleId="WideTable">
    <w:name w:val="Wide Table"/>
    <w:basedOn w:val="Normal"/>
    <w:rsid w:val="00D33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DD1"/>
  </w:style>
  <w:style w:type="paragraph" w:styleId="Quote">
    <w:name w:val="Quote"/>
    <w:basedOn w:val="Heading1"/>
    <w:link w:val="QuoteChar"/>
    <w:qFormat/>
    <w:rsid w:val="00D33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DD1"/>
    <w:pPr>
      <w:pageBreakBefore/>
    </w:pPr>
  </w:style>
  <w:style w:type="paragraph" w:customStyle="1" w:styleId="Border">
    <w:name w:val="Border"/>
    <w:basedOn w:val="Normal"/>
    <w:qFormat/>
    <w:rsid w:val="00D33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DD1"/>
    <w:rPr>
      <w:u w:val="single"/>
    </w:rPr>
  </w:style>
  <w:style w:type="character" w:customStyle="1" w:styleId="BoldandItalics">
    <w:name w:val="Bold and Italics"/>
    <w:qFormat/>
    <w:rsid w:val="00D33DD1"/>
    <w:rPr>
      <w:b/>
      <w:i/>
      <w:u w:val="none"/>
    </w:rPr>
  </w:style>
  <w:style w:type="paragraph" w:styleId="BalloonText">
    <w:name w:val="Balloon Text"/>
    <w:basedOn w:val="Normal"/>
    <w:link w:val="BalloonTextChar"/>
    <w:rsid w:val="00D33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DD1"/>
    <w:pPr>
      <w:spacing w:before="0" w:after="0"/>
    </w:pPr>
  </w:style>
  <w:style w:type="paragraph" w:customStyle="1" w:styleId="BodyTextBold">
    <w:name w:val="Body Text Bold"/>
    <w:basedOn w:val="BodyText"/>
    <w:qFormat/>
    <w:rsid w:val="00D33DD1"/>
    <w:rPr>
      <w:b/>
    </w:rPr>
  </w:style>
  <w:style w:type="character" w:styleId="Hyperlink">
    <w:name w:val="Hyperlink"/>
    <w:basedOn w:val="DefaultParagraphFont"/>
    <w:uiPriority w:val="99"/>
    <w:unhideWhenUsed/>
    <w:rsid w:val="009D53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5214</Characters>
  <Application>Microsoft Office Word</Application>
  <DocSecurity>0</DocSecurity>
  <Lines>130</Lines>
  <Paragraphs>78</Paragraphs>
  <ScaleCrop>false</ScaleCrop>
  <Company>Author-it Software Corporation Ltd.</Company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RIISRM501D Implement the stockpile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2021-01-25T11:24:00Z</dcterms:created>
  <dcterms:modified xsi:type="dcterms:W3CDTF">2021-01-25T11:24:00Z</dcterms:modified>
</cp:coreProperties>
</file>