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F42" w:rsidP="00003F42">
      <w:pPr>
        <w:pStyle w:val="Title"/>
      </w:pPr>
      <w:r>
        <w:fldChar w:fldCharType="begin"/>
      </w:r>
      <w:r>
        <w:instrText xml:space="preserve"> TITLE   \* MERGEFORMAT </w:instrText>
      </w:r>
      <w:r>
        <w:fldChar w:fldCharType="separate"/>
      </w:r>
      <w:r>
        <w:t>Assessment Requirements for RIISRM301E Blend stockpile materials</w:t>
      </w:r>
      <w:r>
        <w:fldChar w:fldCharType="end"/>
      </w:r>
    </w:p>
    <w:p w:rsidR="00003F42" w:rsidP="00003F42">
      <w:pPr>
        <w:pStyle w:val="Version"/>
        <w:sectPr w:rsidSect="00FC61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19E" w:rsidP="00FC619E">
      <w:pPr>
        <w:pStyle w:val="SuperHeading"/>
      </w:pPr>
      <w:r w:rsidRPr="00FC619E">
        <w:t>Assessment Requirements for RIISRM301E Blend stockpile materials</w:t>
      </w:r>
    </w:p>
    <w:p w:rsidR="00000000" w:rsidRPr="00FC619E" w:rsidP="00FC619E">
      <w:pPr>
        <w:pStyle w:val="Heading1"/>
      </w:pPr>
      <w:bookmarkStart w:id="1" w:name="O_1172352"/>
      <w:bookmarkEnd w:id="1"/>
      <w:r w:rsidRPr="00FC619E">
        <w:t>Modification History</w:t>
      </w:r>
    </w:p>
    <w:tbl>
      <w:tblPr>
        <w:tblW w:w="9522" w:type="dxa"/>
        <w:tblLayout w:type="fixed"/>
        <w:tblCellMar>
          <w:left w:w="62" w:type="dxa"/>
          <w:right w:w="62" w:type="dxa"/>
        </w:tblCellMar>
        <w:tblLook w:val="0000"/>
      </w:tblPr>
      <w:tblGrid>
        <w:gridCol w:w="2864"/>
        <w:gridCol w:w="6658"/>
      </w:tblGrid>
      <w:tr w:rsidTr="00FC619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19E" w:rsidP="00FC619E">
            <w:pPr>
              <w:pStyle w:val="BodyText"/>
            </w:pPr>
            <w:r w:rsidRPr="00FC619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19E">
            <w:pPr>
              <w:pStyle w:val="BodyText"/>
              <w:rPr>
                <w:lang w:val="en-NZ"/>
              </w:rPr>
            </w:pPr>
            <w:r w:rsidRPr="00FC619E">
              <w:rPr>
                <w:rStyle w:val="SpecialBold"/>
              </w:rPr>
              <w:t>Comments</w:t>
            </w:r>
          </w:p>
        </w:tc>
      </w:tr>
      <w:tr w:rsidTr="00FC619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19E">
            <w:pPr>
              <w:pStyle w:val="BodyText"/>
              <w:rPr>
                <w:lang w:val="en-NZ"/>
              </w:rPr>
            </w:pPr>
            <w:r w:rsidRPr="00FC619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19E" w:rsidP="00FC619E">
            <w:pPr>
              <w:pStyle w:val="BodyText"/>
            </w:pPr>
            <w:r w:rsidRPr="00FC619E">
              <w:t>This version first released with RII Resources and Infrastructure Industry Training Package Version 7.0.</w:t>
            </w:r>
          </w:p>
        </w:tc>
      </w:tr>
    </w:tbl>
    <w:p w:rsidR="00000000" w:rsidRPr="00FC619E" w:rsidP="00FC619E">
      <w:pPr>
        <w:pStyle w:val="BodyText"/>
      </w:pPr>
    </w:p>
    <w:p w:rsidR="00000000" w:rsidRPr="00FC619E" w:rsidP="00FC619E">
      <w:pPr>
        <w:pStyle w:val="AllowPageBreak"/>
      </w:pPr>
    </w:p>
    <w:p w:rsidR="00000000" w:rsidRPr="00FC619E" w:rsidP="00FC619E">
      <w:pPr>
        <w:pStyle w:val="Heading1"/>
      </w:pPr>
      <w:bookmarkStart w:id="2" w:name="O_1172355"/>
      <w:bookmarkEnd w:id="2"/>
      <w:r w:rsidRPr="00FC619E">
        <w:t>Performance Evidence</w:t>
      </w:r>
    </w:p>
    <w:p w:rsidR="00000000" w:rsidRPr="00FC619E" w:rsidP="00003F42">
      <w:pPr>
        <w:pStyle w:val="BodyText"/>
      </w:pPr>
      <w:r w:rsidRPr="00FC619E">
        <w:t xml:space="preserve">The candidate must demonstrate the ability to complete the tasks outlined in the elements, performance criteria and foundation skills of this unit, including evidence of the ability to: </w:t>
      </w:r>
    </w:p>
    <w:p w:rsidR="00000000" w:rsidRPr="00FC619E" w:rsidP="00FC619E">
      <w:pPr>
        <w:pStyle w:val="ListBullet"/>
      </w:pPr>
      <w:r w:rsidRPr="00FC619E">
        <w:t xml:space="preserve">blend stockpile materials on at least </w:t>
      </w:r>
      <w:r w:rsidRPr="00FC619E">
        <w:t>two occasions, including:</w:t>
      </w:r>
    </w:p>
    <w:p w:rsidR="00000000" w:rsidRPr="00FC619E" w:rsidP="00FC619E">
      <w:pPr>
        <w:pStyle w:val="ListBullet2"/>
      </w:pPr>
      <w:r w:rsidRPr="00FC619E">
        <w:t>identifying hazards and implementing hazard control measures</w:t>
      </w:r>
    </w:p>
    <w:p w:rsidR="00000000" w:rsidRPr="00FC619E" w:rsidP="00FC619E">
      <w:pPr>
        <w:pStyle w:val="ListBullet2"/>
      </w:pPr>
      <w:r w:rsidRPr="00FC619E">
        <w:t>using site determined communication system and equipment</w:t>
      </w:r>
    </w:p>
    <w:p w:rsidR="00000000" w:rsidRPr="00FC619E" w:rsidP="00FC619E">
      <w:pPr>
        <w:pStyle w:val="ListBullet2"/>
      </w:pPr>
      <w:r w:rsidRPr="00FC619E">
        <w:t>operating hand tools when blending stockpile materials</w:t>
      </w:r>
    </w:p>
    <w:p w:rsidR="00000000" w:rsidRPr="00FC619E" w:rsidP="00FC619E">
      <w:pPr>
        <w:pStyle w:val="ListBullet2"/>
      </w:pPr>
      <w:r w:rsidRPr="00FC619E">
        <w:t>monitoring the blending process and confirming correct grades of minerals are selected</w:t>
      </w:r>
    </w:p>
    <w:p w:rsidR="00000000" w:rsidRPr="00FC619E" w:rsidP="00FC619E">
      <w:pPr>
        <w:pStyle w:val="ListBullet2"/>
      </w:pPr>
      <w:r w:rsidRPr="00FC619E">
        <w:t>applying diagnostic and troubleshooting techniques to blending of stockpile materials</w:t>
      </w:r>
    </w:p>
    <w:p w:rsidR="00000000" w:rsidRPr="00FC619E" w:rsidP="00FC619E">
      <w:pPr>
        <w:pStyle w:val="ListBullet2"/>
      </w:pPr>
      <w:r w:rsidRPr="00FC619E">
        <w:t xml:space="preserve">recording issues and reporting activity and any faults, including the process used </w:t>
      </w:r>
      <w:r w:rsidRPr="00FC619E">
        <w:t>to remedy or remove reported faults.</w:t>
      </w:r>
    </w:p>
    <w:p w:rsidR="00000000" w:rsidRPr="00FC619E" w:rsidP="00FC619E">
      <w:pPr>
        <w:pStyle w:val="List"/>
      </w:pPr>
    </w:p>
    <w:p w:rsidR="00000000" w:rsidRPr="00FC619E" w:rsidP="00003F42">
      <w:pPr>
        <w:pStyle w:val="BodyText"/>
      </w:pPr>
      <w:r w:rsidRPr="00FC619E">
        <w:t xml:space="preserve">During the above, the candidate must: </w:t>
      </w:r>
    </w:p>
    <w:p w:rsidR="00000000" w:rsidRPr="00FC619E" w:rsidP="00FC619E">
      <w:pPr>
        <w:pStyle w:val="ListBullet"/>
      </w:pPr>
      <w:r w:rsidRPr="00FC619E">
        <w:t xml:space="preserve">locate and apply documentation, policies and procedures required to blend stockpile materials </w:t>
      </w:r>
    </w:p>
    <w:p w:rsidR="00000000" w:rsidRPr="00FC619E" w:rsidP="00FC619E">
      <w:pPr>
        <w:pStyle w:val="ListBullet"/>
      </w:pPr>
      <w:r w:rsidRPr="00FC619E">
        <w:t>implement the requirements, procedures and techniques to blend stockpile materials,</w:t>
      </w:r>
      <w:r w:rsidRPr="00FC619E">
        <w:t xml:space="preserve"> including:</w:t>
      </w:r>
    </w:p>
    <w:p w:rsidR="00000000" w:rsidRPr="00FC619E" w:rsidP="00FC619E">
      <w:pPr>
        <w:pStyle w:val="ListBullet2"/>
      </w:pPr>
      <w:r w:rsidRPr="00FC619E">
        <w:t>interpreting and applying work instructions</w:t>
      </w:r>
    </w:p>
    <w:p w:rsidR="00000000" w:rsidRPr="00FC619E" w:rsidP="00FC619E">
      <w:pPr>
        <w:pStyle w:val="ListBullet2"/>
      </w:pPr>
      <w:r w:rsidRPr="00FC619E">
        <w:t>selecting and using the required tools and equipment</w:t>
      </w:r>
    </w:p>
    <w:p w:rsidR="00000000" w:rsidRPr="00FC619E" w:rsidP="00FC619E">
      <w:pPr>
        <w:pStyle w:val="ListBullet2"/>
      </w:pPr>
      <w:r w:rsidRPr="00FC619E">
        <w:t>wearing required personal protective equipment</w:t>
      </w:r>
    </w:p>
    <w:p w:rsidR="00000000" w:rsidRPr="00FC619E" w:rsidP="00FC619E">
      <w:pPr>
        <w:pStyle w:val="ListBullet2"/>
      </w:pPr>
      <w:r w:rsidRPr="00FC619E">
        <w:t>accessing, interpreting and applying technical information</w:t>
      </w:r>
    </w:p>
    <w:p w:rsidR="00000000" w:rsidRPr="00FC619E" w:rsidP="00FC619E">
      <w:pPr>
        <w:pStyle w:val="ListBullet2"/>
      </w:pPr>
      <w:r w:rsidRPr="00FC619E">
        <w:t>identifying and applying diagnostic techniques</w:t>
      </w:r>
    </w:p>
    <w:p w:rsidR="00000000" w:rsidRPr="00FC619E" w:rsidP="00FC619E">
      <w:pPr>
        <w:pStyle w:val="ListBullet"/>
      </w:pPr>
      <w:r w:rsidRPr="00FC619E">
        <w:t>work effectively with others to undertake and complete blending stockpile materials to meet required outcomes, including:</w:t>
      </w:r>
    </w:p>
    <w:p w:rsidR="00000000" w:rsidRPr="00FC619E" w:rsidP="00FC619E">
      <w:pPr>
        <w:pStyle w:val="ListBullet2"/>
      </w:pPr>
      <w:r w:rsidRPr="00FC619E">
        <w:t>preparing for and organising work activities to meet task requirements</w:t>
      </w:r>
    </w:p>
    <w:p w:rsidR="00000000" w:rsidRPr="00FC619E" w:rsidP="00FC619E">
      <w:pPr>
        <w:pStyle w:val="ListBullet2"/>
      </w:pPr>
      <w:r w:rsidRPr="00FC619E">
        <w:t>using communic</w:t>
      </w:r>
      <w:r w:rsidRPr="00FC619E">
        <w:t>ation techniques required to convey information to others</w:t>
      </w:r>
    </w:p>
    <w:p w:rsidR="00000000" w:rsidRPr="00FC619E" w:rsidP="00FC619E">
      <w:pPr>
        <w:pStyle w:val="ListBullet2"/>
      </w:pPr>
      <w:r w:rsidRPr="00FC619E">
        <w:t>maintaining written and verbal reporting requirements and procedures</w:t>
      </w:r>
    </w:p>
    <w:p w:rsidR="00000000" w:rsidRPr="00FC619E" w:rsidP="00FC619E">
      <w:pPr>
        <w:pStyle w:val="ListBullet2"/>
      </w:pPr>
      <w:r w:rsidRPr="00FC619E">
        <w:t>communicating to others of work activity and exclusion zones.</w:t>
      </w:r>
    </w:p>
    <w:p w:rsidR="00000000" w:rsidRPr="00FC619E" w:rsidP="00FC619E">
      <w:pPr>
        <w:pStyle w:val="AllowPageBreak"/>
      </w:pPr>
    </w:p>
    <w:p w:rsidR="00000000" w:rsidRPr="00FC619E" w:rsidP="00FC619E">
      <w:pPr>
        <w:pStyle w:val="Heading1"/>
      </w:pPr>
      <w:bookmarkStart w:id="3" w:name="O_1172354"/>
      <w:bookmarkEnd w:id="3"/>
      <w:r w:rsidRPr="00FC619E">
        <w:t>Knowledge Evidence</w:t>
      </w:r>
    </w:p>
    <w:p w:rsidR="00000000" w:rsidRPr="00FC619E" w:rsidP="00003F42">
      <w:pPr>
        <w:pStyle w:val="BodyText"/>
      </w:pPr>
      <w:r w:rsidRPr="00FC619E">
        <w:t>The candidate must be able to</w:t>
      </w:r>
      <w:r w:rsidRPr="00FC619E">
        <w:t xml:space="preserve"> demonstrate knowledge to complete the tasks outlined in the elements, performance criteria and foundation skills of this unit, including knowledge of:</w:t>
      </w:r>
    </w:p>
    <w:p w:rsidR="00000000" w:rsidRPr="00FC619E" w:rsidP="00FC619E">
      <w:pPr>
        <w:pStyle w:val="ListBullet"/>
      </w:pPr>
      <w:r w:rsidRPr="00FC619E">
        <w:t>legislative requirements for blending blend stockpile materials</w:t>
      </w:r>
    </w:p>
    <w:p w:rsidR="00000000" w:rsidRPr="00FC619E" w:rsidP="00FC619E">
      <w:pPr>
        <w:pStyle w:val="ListBullet"/>
      </w:pPr>
      <w:r w:rsidRPr="00FC619E">
        <w:t xml:space="preserve">policies, procedures and documentation </w:t>
      </w:r>
      <w:r w:rsidRPr="00FC619E">
        <w:t>required to blend stockpile materials, including those relating to:</w:t>
      </w:r>
    </w:p>
    <w:p w:rsidR="00000000" w:rsidRPr="00FC619E" w:rsidP="00FC619E">
      <w:pPr>
        <w:pStyle w:val="ListBullet2"/>
      </w:pPr>
      <w:r w:rsidRPr="00FC619E">
        <w:t>blending stockpile materials</w:t>
      </w:r>
    </w:p>
    <w:p w:rsidR="00000000" w:rsidRPr="00FC619E" w:rsidP="00FC619E">
      <w:pPr>
        <w:pStyle w:val="ListBullet2"/>
      </w:pPr>
      <w:r w:rsidRPr="00FC619E">
        <w:t>environmental protection</w:t>
      </w:r>
    </w:p>
    <w:p w:rsidR="00000000" w:rsidRPr="00FC619E" w:rsidP="00FC619E">
      <w:pPr>
        <w:pStyle w:val="ListBullet2"/>
      </w:pPr>
      <w:r w:rsidRPr="00FC619E">
        <w:t>fire, accident and emergency</w:t>
      </w:r>
    </w:p>
    <w:p w:rsidR="00000000" w:rsidRPr="00FC619E" w:rsidP="00FC619E">
      <w:pPr>
        <w:pStyle w:val="ListBullet2"/>
      </w:pPr>
      <w:r w:rsidRPr="00FC619E">
        <w:t>hazardous goods</w:t>
      </w:r>
    </w:p>
    <w:p w:rsidR="00000000" w:rsidRPr="00FC619E" w:rsidP="00FC619E">
      <w:pPr>
        <w:pStyle w:val="ListBullet2"/>
      </w:pPr>
      <w:r w:rsidRPr="00FC619E">
        <w:t>personal protective equipment</w:t>
      </w:r>
    </w:p>
    <w:p w:rsidR="00000000" w:rsidRPr="00FC619E" w:rsidP="00FC619E">
      <w:pPr>
        <w:pStyle w:val="ListBullet2"/>
      </w:pPr>
      <w:r w:rsidRPr="00FC619E">
        <w:t>site operational, quality and communication requirements</w:t>
      </w:r>
    </w:p>
    <w:p w:rsidR="00000000" w:rsidRPr="00FC619E" w:rsidP="00FC619E">
      <w:pPr>
        <w:pStyle w:val="ListBullet2"/>
      </w:pPr>
      <w:r w:rsidRPr="00FC619E">
        <w:t>site product characteristics</w:t>
      </w:r>
    </w:p>
    <w:p w:rsidR="00000000" w:rsidRPr="00FC619E" w:rsidP="00FC619E">
      <w:pPr>
        <w:pStyle w:val="ListBullet2"/>
      </w:pPr>
      <w:r w:rsidRPr="00FC619E">
        <w:t>work health and safety</w:t>
      </w:r>
    </w:p>
    <w:p w:rsidR="00000000" w:rsidRPr="00FC619E" w:rsidP="00FC619E">
      <w:pPr>
        <w:pStyle w:val="ListBullet"/>
      </w:pPr>
      <w:r w:rsidRPr="00FC619E">
        <w:t>techniques and procedures for blending equipment, including for:</w:t>
      </w:r>
    </w:p>
    <w:p w:rsidR="00000000" w:rsidRPr="00FC619E" w:rsidP="00FC619E">
      <w:pPr>
        <w:pStyle w:val="ListBullet2"/>
      </w:pPr>
      <w:r w:rsidRPr="00FC619E">
        <w:t xml:space="preserve">pre-start and start-up </w:t>
      </w:r>
    </w:p>
    <w:p w:rsidR="00000000" w:rsidRPr="00FC619E" w:rsidP="00FC619E">
      <w:pPr>
        <w:pStyle w:val="ListBullet2"/>
      </w:pPr>
      <w:r w:rsidRPr="00FC619E">
        <w:t>operation</w:t>
      </w:r>
    </w:p>
    <w:p w:rsidR="00000000" w:rsidRPr="00FC619E" w:rsidP="00FC619E">
      <w:pPr>
        <w:pStyle w:val="ListBullet2"/>
      </w:pPr>
      <w:r w:rsidRPr="00FC619E">
        <w:t>shutdown</w:t>
      </w:r>
    </w:p>
    <w:p w:rsidR="00000000" w:rsidRPr="00FC619E" w:rsidP="00FC619E">
      <w:pPr>
        <w:pStyle w:val="ListBullet2"/>
      </w:pPr>
      <w:r w:rsidRPr="00FC619E">
        <w:t xml:space="preserve">emergency signals </w:t>
      </w:r>
    </w:p>
    <w:p w:rsidR="00000000" w:rsidRPr="00FC619E" w:rsidP="00FC619E">
      <w:pPr>
        <w:pStyle w:val="ListBullet"/>
      </w:pPr>
      <w:r w:rsidRPr="00FC619E">
        <w:t>characteristics, requirements, technical capabilities and limitations of m</w:t>
      </w:r>
      <w:r w:rsidRPr="00FC619E">
        <w:t>ethods for:</w:t>
      </w:r>
    </w:p>
    <w:p w:rsidR="00000000" w:rsidRPr="00FC619E" w:rsidP="00FC619E">
      <w:pPr>
        <w:pStyle w:val="ListBullet2"/>
      </w:pPr>
      <w:r w:rsidRPr="00FC619E">
        <w:t>blending and stockpiling</w:t>
      </w:r>
    </w:p>
    <w:p w:rsidR="00000000" w:rsidRPr="00FC619E" w:rsidP="00FC619E">
      <w:pPr>
        <w:pStyle w:val="ListBullet2"/>
      </w:pPr>
      <w:r w:rsidRPr="00FC619E">
        <w:t>dust suppression and extraction</w:t>
      </w:r>
    </w:p>
    <w:p w:rsidR="00000000" w:rsidRPr="00FC619E" w:rsidP="00FC619E">
      <w:pPr>
        <w:pStyle w:val="ListBullet"/>
      </w:pPr>
      <w:r w:rsidRPr="00FC619E">
        <w:t>environmental requirements and constraints</w:t>
      </w:r>
    </w:p>
    <w:p w:rsidR="00000000" w:rsidRPr="00FC619E" w:rsidP="00FC619E">
      <w:pPr>
        <w:pStyle w:val="ListBullet"/>
      </w:pPr>
      <w:r w:rsidRPr="00FC619E">
        <w:t>geotechnical risks associated with working around stockpiles</w:t>
      </w:r>
    </w:p>
    <w:p w:rsidR="00000000" w:rsidRPr="00FC619E" w:rsidP="00FC619E">
      <w:pPr>
        <w:pStyle w:val="ListBullet"/>
      </w:pPr>
      <w:r w:rsidRPr="00FC619E">
        <w:t>types of risks and hazards involved in blending stockpile materials, including those relating to spills</w:t>
      </w:r>
    </w:p>
    <w:p w:rsidR="00000000" w:rsidRPr="00FC619E" w:rsidP="00FC619E">
      <w:pPr>
        <w:pStyle w:val="ListBullet"/>
      </w:pPr>
      <w:r w:rsidRPr="00FC619E">
        <w:t>techniques for interpreting stockpile indicator readings</w:t>
      </w:r>
    </w:p>
    <w:p w:rsidR="00000000" w:rsidRPr="00FC619E" w:rsidP="00FC619E">
      <w:pPr>
        <w:pStyle w:val="ListBullet"/>
      </w:pPr>
      <w:r w:rsidRPr="00FC619E">
        <w:t>principles of contamination.</w:t>
      </w:r>
    </w:p>
    <w:p w:rsidR="00000000" w:rsidRPr="00FC619E" w:rsidP="00FC619E">
      <w:pPr>
        <w:pStyle w:val="AllowPageBreak"/>
      </w:pPr>
    </w:p>
    <w:p w:rsidR="00000000" w:rsidRPr="00FC619E" w:rsidP="00FC619E">
      <w:pPr>
        <w:pStyle w:val="Heading1"/>
      </w:pPr>
      <w:bookmarkStart w:id="4" w:name="O_1172353"/>
      <w:bookmarkEnd w:id="4"/>
      <w:r w:rsidRPr="00FC619E">
        <w:t>Assessment Conditions</w:t>
      </w:r>
    </w:p>
    <w:p w:rsidR="00000000" w:rsidRPr="00FC619E" w:rsidP="00003F42">
      <w:pPr>
        <w:pStyle w:val="BodyText"/>
      </w:pPr>
      <w:r w:rsidRPr="00FC619E">
        <w:t xml:space="preserve">Mandatory conditions for </w:t>
      </w:r>
      <w:r w:rsidRPr="00FC619E">
        <w:t>assessment of this unit are stipulated below. The assessment must:</w:t>
      </w:r>
    </w:p>
    <w:p w:rsidR="00000000" w:rsidRPr="00FC619E" w:rsidP="00FC619E">
      <w:pPr>
        <w:pStyle w:val="ListBullet"/>
      </w:pPr>
      <w:r w:rsidRPr="00FC619E">
        <w:t>include access to:</w:t>
      </w:r>
    </w:p>
    <w:p w:rsidR="00000000" w:rsidRPr="00FC619E" w:rsidP="00FC619E">
      <w:pPr>
        <w:pStyle w:val="ListBullet2"/>
      </w:pPr>
      <w:r w:rsidRPr="00FC619E">
        <w:t>personal protective equipment</w:t>
      </w:r>
    </w:p>
    <w:p w:rsidR="00000000" w:rsidRPr="00FC619E" w:rsidP="00FC619E">
      <w:pPr>
        <w:pStyle w:val="ListBullet2"/>
      </w:pPr>
      <w:r w:rsidRPr="00FC619E">
        <w:t>an environment where blending of stockpile materials is required</w:t>
      </w:r>
    </w:p>
    <w:p w:rsidR="00000000" w:rsidRPr="00FC619E" w:rsidP="00FC619E">
      <w:pPr>
        <w:pStyle w:val="ListBullet2"/>
      </w:pPr>
      <w:r w:rsidRPr="00FC619E">
        <w:t>equipment required for blending of stockpile materials</w:t>
      </w:r>
    </w:p>
    <w:p w:rsidR="00000000" w:rsidRPr="00FC619E" w:rsidP="00FC619E">
      <w:pPr>
        <w:pStyle w:val="ListBullet2"/>
      </w:pPr>
      <w:r w:rsidRPr="00FC619E">
        <w:t>simulated or actua</w:t>
      </w:r>
      <w:r w:rsidRPr="00FC619E">
        <w:t>l documentation of work requirements and reports</w:t>
      </w:r>
    </w:p>
    <w:p w:rsidR="00000000" w:rsidRPr="00FC619E" w:rsidP="00FC619E">
      <w:pPr>
        <w:pStyle w:val="ListBullet"/>
      </w:pPr>
      <w:r w:rsidRPr="00FC619E">
        <w:t xml:space="preserve">be conducted in a safe environment; and, </w:t>
      </w:r>
    </w:p>
    <w:p w:rsidR="00000000" w:rsidRPr="00FC619E" w:rsidP="00FC619E">
      <w:pPr>
        <w:pStyle w:val="ListBullet"/>
      </w:pPr>
      <w:r w:rsidRPr="00FC619E">
        <w:t>be assessed in the context of this sector</w:t>
      </w:r>
      <w:r>
        <w:t>’</w:t>
      </w:r>
      <w:r w:rsidRPr="00FC619E">
        <w:t xml:space="preserve">s work environment; and, </w:t>
      </w:r>
    </w:p>
    <w:p w:rsidR="00000000" w:rsidRPr="00FC619E" w:rsidP="00FC619E">
      <w:pPr>
        <w:pStyle w:val="ListBullet"/>
      </w:pPr>
      <w:r w:rsidRPr="00FC619E">
        <w:t>be assessed in compliance with relevant legislation/regulation and using policies, procedures an</w:t>
      </w:r>
      <w:r w:rsidRPr="00FC619E">
        <w:t>d processes directly related to the industry sector for which it is being assessed; and,</w:t>
      </w:r>
    </w:p>
    <w:p w:rsidR="00000000" w:rsidRPr="00FC619E" w:rsidP="00FC619E">
      <w:pPr>
        <w:pStyle w:val="ListBullet"/>
      </w:pPr>
      <w:r w:rsidRPr="00FC619E">
        <w:t>confirm consistent performance can be applied in a range of relevant workplace circumstances.</w:t>
      </w:r>
    </w:p>
    <w:p w:rsidR="00000000" w:rsidRPr="00FC619E" w:rsidP="00003F42">
      <w:pPr>
        <w:pStyle w:val="BodyText"/>
      </w:pPr>
      <w:r w:rsidRPr="00FC619E">
        <w:t>Where personal safety or environmental damage are limiting factors, assessment may occur in a simulated work environment* provided it is realistic and sufficiently rigorous to cover all aspects of this sector’s workplace performance, including environment,</w:t>
      </w:r>
      <w:r w:rsidRPr="00FC619E">
        <w:t xml:space="preserve"> task skills, task management skills, contingency management skills and job role environment skills.</w:t>
      </w:r>
    </w:p>
    <w:p w:rsidR="00000000" w:rsidRPr="00FC619E" w:rsidP="00FC619E">
      <w:pPr>
        <w:pStyle w:val="BodyTextBold"/>
      </w:pPr>
      <w:r w:rsidRPr="00FC619E">
        <w:t>Assessor requirements</w:t>
      </w:r>
    </w:p>
    <w:p w:rsidR="00000000" w:rsidRPr="00FC619E" w:rsidP="00003F42">
      <w:pPr>
        <w:pStyle w:val="BodyText"/>
      </w:pPr>
      <w:r w:rsidRPr="00FC619E">
        <w:t>Assessors must be able to clearly demonstrate current and relevant industry knowledge and experience to satisfy the mandatory regulat</w:t>
      </w:r>
      <w:r w:rsidRPr="00FC619E">
        <w:t>ory standards as set out in the Standards for Registered Training Organisations 2015/Australian Quality Training Framework mandatory requirements for assessors current at the time of assessment and any relevant licensing and certification requirements. Thi</w:t>
      </w:r>
      <w:r w:rsidRPr="00FC619E">
        <w:t>s includes:</w:t>
      </w:r>
    </w:p>
    <w:p w:rsidR="00000000" w:rsidRPr="00FC619E" w:rsidP="00FC619E">
      <w:pPr>
        <w:pStyle w:val="ListBullet"/>
      </w:pPr>
      <w:r w:rsidRPr="00FC619E">
        <w:t>vocational competencies at least to the level being delivered and assessed</w:t>
      </w:r>
    </w:p>
    <w:p w:rsidR="00000000" w:rsidRPr="00FC619E" w:rsidP="00FC619E">
      <w:pPr>
        <w:pStyle w:val="ListBullet"/>
      </w:pPr>
      <w:r w:rsidRPr="00FC619E">
        <w:t>current industry skills directly relevant to the training and assessment being provided</w:t>
      </w:r>
    </w:p>
    <w:p w:rsidR="00000000" w:rsidRPr="00FC619E" w:rsidP="00FC619E">
      <w:pPr>
        <w:pStyle w:val="ListBullet"/>
      </w:pPr>
      <w:r w:rsidRPr="00FC619E">
        <w:t>current knowledge and skills in vocational training and learning that informs th</w:t>
      </w:r>
      <w:r w:rsidRPr="00FC619E">
        <w:t>eir training and assessment</w:t>
      </w:r>
    </w:p>
    <w:p w:rsidR="00000000" w:rsidRPr="00FC619E" w:rsidP="00FC619E">
      <w:pPr>
        <w:pStyle w:val="ListBullet"/>
      </w:pPr>
      <w:r w:rsidRPr="00FC619E">
        <w:t>formal relevant qualifications in training and assessment</w:t>
      </w:r>
    </w:p>
    <w:p w:rsidR="00000000" w:rsidRPr="00FC619E" w:rsidP="00FC619E">
      <w:pPr>
        <w:pStyle w:val="ListBullet"/>
      </w:pPr>
      <w:r w:rsidRPr="00FC619E">
        <w:t xml:space="preserve">having knowledge of and/or experience using the latest techniques and processes </w:t>
      </w:r>
    </w:p>
    <w:p w:rsidR="00000000" w:rsidRPr="00FC619E" w:rsidP="00FC619E">
      <w:pPr>
        <w:pStyle w:val="ListBullet"/>
      </w:pPr>
      <w:r w:rsidRPr="00FC619E">
        <w:t>possessing the required level of RII training product knowledge</w:t>
      </w:r>
    </w:p>
    <w:p w:rsidR="00000000" w:rsidRPr="00FC619E" w:rsidP="00FC619E">
      <w:pPr>
        <w:pStyle w:val="ListBullet"/>
      </w:pPr>
      <w:r w:rsidRPr="00FC619E">
        <w:t>having an understanding a</w:t>
      </w:r>
      <w:r w:rsidRPr="00FC619E">
        <w:t>nd knowledge of legislation and regulations relevant to the industry and to employment and workplaces</w:t>
      </w:r>
    </w:p>
    <w:p w:rsidR="00000000" w:rsidRPr="00FC619E" w:rsidP="00FC619E">
      <w:pPr>
        <w:pStyle w:val="ListBullet"/>
      </w:pPr>
      <w:r w:rsidRPr="00FC619E">
        <w:t>demonstrating the performance evidence, and knowledge evidence outlined in this unit of competency, and</w:t>
      </w:r>
    </w:p>
    <w:p w:rsidR="00000000" w:rsidRPr="00FC619E" w:rsidP="00FC619E">
      <w:pPr>
        <w:pStyle w:val="ListBullet"/>
      </w:pPr>
      <w:r w:rsidRPr="00FC619E">
        <w:t>the minimum years of current** work experience aft</w:t>
      </w:r>
      <w:r w:rsidRPr="00FC619E">
        <w:t>er competency has been obtained as specified below in an industry sector relevant to the outcomes of the unit.</w:t>
      </w:r>
    </w:p>
    <w:p w:rsidR="00000000" w:rsidRPr="00FC619E" w:rsidP="00003F42">
      <w:pPr>
        <w:pStyle w:val="BodyText"/>
      </w:pPr>
      <w:r w:rsidRPr="00FC619E">
        <w:t>It is also acceptable for the appropriately qualified assessor to work with an industry expert to conduct assessment together and for the industr</w:t>
      </w:r>
      <w:r w:rsidRPr="00FC619E">
        <w:t xml:space="preserve">y expert to be involved in the assessment judgement. The industry expert must have current industry skills directly relevant to the training and assessment being provided. This means the industry subject matter expert must demonstrate skills and knowledge </w:t>
      </w:r>
      <w:r w:rsidRPr="00FC619E">
        <w:t>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03F4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19E">
            <w:pPr>
              <w:pStyle w:val="BodyTextBold"/>
              <w:rPr>
                <w:lang w:val="en-NZ"/>
              </w:rPr>
            </w:pPr>
            <w:r w:rsidRPr="00FC619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19E">
            <w:pPr>
              <w:pStyle w:val="BodyTextBold"/>
              <w:rPr>
                <w:lang w:val="en-NZ"/>
              </w:rPr>
            </w:pPr>
            <w:r w:rsidRPr="00FC619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19E">
            <w:pPr>
              <w:pStyle w:val="BodyTextBold"/>
              <w:rPr>
                <w:lang w:val="en-NZ"/>
              </w:rPr>
            </w:pPr>
            <w:r w:rsidRPr="00FC619E">
              <w:t>Required assessor or industry subject matter e</w:t>
            </w:r>
            <w:r w:rsidRPr="00FC619E">
              <w:t>xpert experience</w:t>
            </w:r>
          </w:p>
        </w:tc>
      </w:tr>
      <w:tr w:rsidTr="00003F4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19E">
            <w:pPr>
              <w:pStyle w:val="BodyText"/>
              <w:rPr>
                <w:lang w:val="en-NZ"/>
              </w:rPr>
            </w:pPr>
            <w:r w:rsidRPr="00FC619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19E">
            <w:pPr>
              <w:pStyle w:val="BodyText"/>
              <w:rPr>
                <w:lang w:val="en-NZ"/>
              </w:rPr>
            </w:pPr>
            <w:r w:rsidRPr="00FC619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19E">
            <w:pPr>
              <w:pStyle w:val="BodyText"/>
              <w:rPr>
                <w:lang w:val="en-NZ"/>
              </w:rPr>
            </w:pPr>
            <w:r w:rsidRPr="00FC619E">
              <w:t>1 year</w:t>
            </w:r>
          </w:p>
        </w:tc>
      </w:tr>
      <w:tr w:rsidTr="00003F4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19E">
            <w:pPr>
              <w:pStyle w:val="BodyText"/>
              <w:rPr>
                <w:lang w:val="en-NZ"/>
              </w:rPr>
            </w:pPr>
            <w:r w:rsidRPr="00FC619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19E">
            <w:pPr>
              <w:pStyle w:val="BodyText"/>
              <w:rPr>
                <w:lang w:val="en-NZ"/>
              </w:rPr>
            </w:pPr>
            <w:r w:rsidRPr="00FC619E">
              <w:t>2 years</w:t>
            </w:r>
          </w:p>
        </w:tc>
      </w:tr>
      <w:tr w:rsidTr="00003F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19E">
            <w:pPr>
              <w:pStyle w:val="BodyText"/>
              <w:rPr>
                <w:lang w:val="en-NZ"/>
              </w:rPr>
            </w:pPr>
            <w:r w:rsidRPr="00FC619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19E">
            <w:pPr>
              <w:pStyle w:val="BodyText"/>
              <w:rPr>
                <w:lang w:val="en-NZ"/>
              </w:rPr>
            </w:pPr>
            <w:r w:rsidRPr="00FC619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19E">
            <w:pPr>
              <w:pStyle w:val="BodyText"/>
              <w:rPr>
                <w:lang w:val="en-NZ"/>
              </w:rPr>
            </w:pPr>
            <w:r w:rsidRPr="00FC619E">
              <w:t>3 years</w:t>
            </w:r>
          </w:p>
        </w:tc>
      </w:tr>
      <w:tr w:rsidTr="00003F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19E">
            <w:pPr>
              <w:pStyle w:val="BodyText"/>
              <w:rPr>
                <w:lang w:val="en-NZ"/>
              </w:rPr>
            </w:pPr>
            <w:r w:rsidRPr="00FC619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619E" w:rsidP="00FC619E">
            <w:pPr>
              <w:pStyle w:val="BodyText"/>
            </w:pPr>
            <w:r w:rsidRPr="00FC619E">
              <w:t>Where this unit is being assessed outside of the resources and infrastructure sectors assessor and/or industry subject matter expert experience should be in-line with industry standards for the sector in which it is being assessed and where no industry sta</w:t>
            </w:r>
            <w:r w:rsidRPr="00FC619E">
              <w:t>ndard is specified should comply with any relevant regulation.</w:t>
            </w:r>
          </w:p>
        </w:tc>
      </w:tr>
    </w:tbl>
    <w:p w:rsidR="00000000" w:rsidRPr="00FC619E" w:rsidP="00003F42">
      <w:pPr>
        <w:pStyle w:val="BodyText"/>
      </w:pPr>
      <w:r w:rsidRPr="00FC619E">
        <w:t>*Guidance on simulated environments has been stipulated in the RII implementation guide located on VETNet.</w:t>
      </w:r>
    </w:p>
    <w:p w:rsidR="00000000" w:rsidRPr="00FC619E" w:rsidP="00003F42">
      <w:pPr>
        <w:pStyle w:val="BodyText"/>
      </w:pPr>
      <w:r w:rsidRPr="00FC619E">
        <w:t>**Assessors can demonstrate current work experience through employment within indust</w:t>
      </w:r>
      <w:r w:rsidRPr="00FC619E">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FC619E" w:rsidP="00003F42">
      <w:pPr>
        <w:pStyle w:val="BodyText"/>
      </w:pPr>
      <w:r w:rsidRPr="00FC619E">
        <w:t>***While a unit of competency does not have an AQF level, where a unit is being delivered outside of a qualification the first numeric character in the unit code should be considered as the AQF indicator level for assessment purposes.</w:t>
      </w:r>
    </w:p>
    <w:p w:rsidR="00000000" w:rsidRPr="00FC619E" w:rsidP="00FC619E">
      <w:pPr>
        <w:pStyle w:val="Heading1"/>
      </w:pPr>
      <w:bookmarkStart w:id="5" w:name="O_1172351"/>
      <w:bookmarkEnd w:id="5"/>
      <w:r w:rsidRPr="00FC619E">
        <w:t>Li</w:t>
      </w:r>
      <w:r w:rsidRPr="00FC619E">
        <w:t>nks</w:t>
      </w:r>
    </w:p>
    <w:p w:rsidR="00000000" w:rsidRPr="00FC619E" w:rsidP="00003F42">
      <w:pPr>
        <w:pStyle w:val="BodyText"/>
      </w:pPr>
      <w:r w:rsidRPr="00FC619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D2C9A">
        <w:rPr>
          <w:rStyle w:val="Hyperlink"/>
        </w:rPr>
        <w:t>https://vetnet.gov.au/Pages/TrainingDocs.aspx?q=88a61002-9a21-4386-aaf8-69c76e675272</w:t>
      </w:r>
      <w:r>
        <w:fldChar w:fldCharType="end"/>
      </w:r>
    </w:p>
    <w:p w:rsidR="00000000" w:rsidRPr="00FC619E" w:rsidP="00FC619E"/>
    <w:sectPr w:rsidSect="00FC61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9E" w:rsidRPr="00003F42" w:rsidP="00003F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F42" w:rsidP="00FC61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3F42" w:rsidP="00FC61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03F42" w:rsidP="00FC61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F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19E" w:rsidRPr="00003F42" w:rsidP="00003F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F42" w:rsidRPr="002D2AF8" w:rsidP="00FC619E">
    <w:pPr>
      <w:pStyle w:val="Header"/>
      <w:framePr w:wrap="around"/>
    </w:pPr>
    <w:r>
      <w:fldChar w:fldCharType="begin"/>
    </w:r>
    <w:r>
      <w:instrText xml:space="preserve"> TITLE   \* MERGEFORMAT </w:instrText>
    </w:r>
    <w:r>
      <w:fldChar w:fldCharType="separate"/>
    </w:r>
    <w:r>
      <w:t>Assessment Requirements for RIISRM301E Blend stockpile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03F42" w:rsidP="00FC61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DAF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EAD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6A4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1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19E"/>
    <w:pPr>
      <w:spacing w:before="360" w:after="60"/>
      <w:outlineLvl w:val="0"/>
    </w:pPr>
    <w:rPr>
      <w:sz w:val="32"/>
    </w:rPr>
  </w:style>
  <w:style w:type="paragraph" w:styleId="Heading2">
    <w:name w:val="heading 2"/>
    <w:basedOn w:val="HeadingBase"/>
    <w:next w:val="BodyText"/>
    <w:link w:val="Heading2Char"/>
    <w:qFormat/>
    <w:rsid w:val="00FC619E"/>
    <w:pPr>
      <w:keepLines/>
      <w:spacing w:before="240" w:after="120"/>
      <w:outlineLvl w:val="1"/>
    </w:pPr>
    <w:rPr>
      <w:sz w:val="28"/>
      <w:szCs w:val="40"/>
    </w:rPr>
  </w:style>
  <w:style w:type="paragraph" w:styleId="Heading3">
    <w:name w:val="heading 3"/>
    <w:basedOn w:val="HeadingBase"/>
    <w:next w:val="BodyText"/>
    <w:link w:val="Heading3Char"/>
    <w:qFormat/>
    <w:rsid w:val="00FC619E"/>
    <w:pPr>
      <w:spacing w:before="180" w:after="120"/>
      <w:outlineLvl w:val="2"/>
    </w:pPr>
    <w:rPr>
      <w:spacing w:val="-10"/>
      <w:kern w:val="32"/>
    </w:rPr>
  </w:style>
  <w:style w:type="paragraph" w:styleId="Heading4">
    <w:name w:val="heading 4"/>
    <w:basedOn w:val="HeadingBase"/>
    <w:next w:val="BodyText"/>
    <w:link w:val="Heading4Char"/>
    <w:qFormat/>
    <w:rsid w:val="00FC619E"/>
    <w:pPr>
      <w:spacing w:before="160" w:after="120"/>
      <w:outlineLvl w:val="3"/>
    </w:pPr>
    <w:rPr>
      <w:sz w:val="22"/>
    </w:rPr>
  </w:style>
  <w:style w:type="paragraph" w:styleId="Heading5">
    <w:name w:val="heading 5"/>
    <w:basedOn w:val="HeadingBase"/>
    <w:next w:val="Normal"/>
    <w:link w:val="Heading5Char"/>
    <w:qFormat/>
    <w:rsid w:val="00FC619E"/>
    <w:pPr>
      <w:spacing w:before="80"/>
      <w:outlineLvl w:val="4"/>
    </w:pPr>
    <w:rPr>
      <w:color w:val="918585"/>
      <w:sz w:val="20"/>
    </w:rPr>
  </w:style>
  <w:style w:type="paragraph" w:styleId="Heading6">
    <w:name w:val="heading 6"/>
    <w:basedOn w:val="HeadingBase"/>
    <w:next w:val="Normal"/>
    <w:link w:val="Heading6Char"/>
    <w:qFormat/>
    <w:rsid w:val="00FC619E"/>
    <w:pPr>
      <w:spacing w:before="60"/>
      <w:outlineLvl w:val="5"/>
    </w:pPr>
    <w:rPr>
      <w:color w:val="918585"/>
      <w:sz w:val="20"/>
    </w:rPr>
  </w:style>
  <w:style w:type="paragraph" w:styleId="Heading7">
    <w:name w:val="heading 7"/>
    <w:basedOn w:val="Normal"/>
    <w:next w:val="Normal"/>
    <w:link w:val="Heading7Char"/>
    <w:qFormat/>
    <w:rsid w:val="00FC619E"/>
    <w:pPr>
      <w:ind w:left="720"/>
      <w:outlineLvl w:val="6"/>
    </w:pPr>
    <w:rPr>
      <w:i/>
    </w:rPr>
  </w:style>
  <w:style w:type="paragraph" w:styleId="Heading8">
    <w:name w:val="heading 8"/>
    <w:basedOn w:val="Normal"/>
    <w:next w:val="Normal"/>
    <w:link w:val="Heading8Char"/>
    <w:qFormat/>
    <w:rsid w:val="00FC619E"/>
    <w:pPr>
      <w:ind w:left="720"/>
      <w:outlineLvl w:val="7"/>
    </w:pPr>
    <w:rPr>
      <w:i/>
    </w:rPr>
  </w:style>
  <w:style w:type="paragraph" w:styleId="Heading9">
    <w:name w:val="heading 9"/>
    <w:basedOn w:val="Normal"/>
    <w:next w:val="Normal"/>
    <w:link w:val="Heading9Char"/>
    <w:qFormat/>
    <w:rsid w:val="00FC619E"/>
    <w:pPr>
      <w:ind w:left="720"/>
      <w:outlineLvl w:val="8"/>
    </w:pPr>
    <w:rPr>
      <w:i/>
    </w:rPr>
  </w:style>
  <w:style w:type="character" w:default="1" w:styleId="DefaultParagraphFont">
    <w:name w:val="Default Paragraph Font"/>
    <w:uiPriority w:val="1"/>
    <w:unhideWhenUsed/>
    <w:rsid w:val="00FC61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19E"/>
  </w:style>
  <w:style w:type="character" w:customStyle="1" w:styleId="Heading1Char">
    <w:name w:val="Heading 1 Char"/>
    <w:basedOn w:val="DefaultParagraphFont"/>
    <w:link w:val="Heading1"/>
    <w:rsid w:val="00FC619E"/>
    <w:rPr>
      <w:rFonts w:ascii="Times New Roman" w:eastAsia="Times New Roman" w:hAnsi="Times New Roman" w:cs="Times New Roman"/>
      <w:b/>
      <w:sz w:val="32"/>
      <w:szCs w:val="20"/>
      <w:lang w:eastAsia="en-US"/>
    </w:rPr>
  </w:style>
  <w:style w:type="paragraph" w:styleId="BodyText">
    <w:name w:val="Body Text"/>
    <w:basedOn w:val="Normal"/>
    <w:link w:val="BodyTextChar"/>
    <w:rsid w:val="00FC61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19E"/>
    <w:rPr>
      <w:rFonts w:ascii="Times New Roman" w:eastAsia="Times New Roman" w:hAnsi="Times New Roman" w:cs="Times New Roman"/>
      <w:sz w:val="24"/>
      <w:lang w:eastAsia="en-US"/>
    </w:rPr>
  </w:style>
  <w:style w:type="paragraph" w:styleId="List">
    <w:name w:val="List"/>
    <w:basedOn w:val="BodyText"/>
    <w:next w:val="BodyText"/>
    <w:rsid w:val="00FC619E"/>
    <w:pPr>
      <w:tabs>
        <w:tab w:val="left" w:pos="340"/>
      </w:tabs>
      <w:spacing w:before="60" w:after="60"/>
      <w:ind w:left="340" w:hanging="340"/>
    </w:pPr>
  </w:style>
  <w:style w:type="paragraph" w:styleId="ListBullet">
    <w:name w:val="List Bullet"/>
    <w:basedOn w:val="List"/>
    <w:rsid w:val="00FC619E"/>
    <w:pPr>
      <w:numPr>
        <w:numId w:val="12"/>
      </w:numPr>
      <w:tabs>
        <w:tab w:val="clear" w:pos="340"/>
      </w:tabs>
      <w:spacing w:before="40" w:after="40"/>
    </w:pPr>
  </w:style>
  <w:style w:type="character" w:customStyle="1" w:styleId="SpecialBold">
    <w:name w:val="Special Bold"/>
    <w:basedOn w:val="DefaultParagraphFont"/>
    <w:rsid w:val="00FC619E"/>
    <w:rPr>
      <w:b/>
      <w:spacing w:val="0"/>
    </w:rPr>
  </w:style>
  <w:style w:type="paragraph" w:styleId="ListBullet2">
    <w:name w:val="List Bullet 2"/>
    <w:basedOn w:val="List2"/>
    <w:rsid w:val="00FC619E"/>
    <w:pPr>
      <w:numPr>
        <w:numId w:val="13"/>
      </w:numPr>
      <w:tabs>
        <w:tab w:val="clear" w:pos="680"/>
      </w:tabs>
    </w:pPr>
  </w:style>
  <w:style w:type="paragraph" w:customStyle="1" w:styleId="SuperHeading">
    <w:name w:val="SuperHeading"/>
    <w:basedOn w:val="Normal"/>
    <w:rsid w:val="00FC619E"/>
    <w:pPr>
      <w:spacing w:before="240" w:after="120"/>
      <w:outlineLvl w:val="0"/>
    </w:pPr>
    <w:rPr>
      <w:rFonts w:ascii="Times New Roman" w:hAnsi="Times New Roman"/>
      <w:b/>
      <w:sz w:val="32"/>
    </w:rPr>
  </w:style>
  <w:style w:type="paragraph" w:customStyle="1" w:styleId="AllowPageBreak">
    <w:name w:val="AllowPageBreak"/>
    <w:rsid w:val="00FC61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C619E"/>
    <w:rPr>
      <w:b/>
    </w:rPr>
  </w:style>
  <w:style w:type="character" w:customStyle="1" w:styleId="Heading2Char">
    <w:name w:val="Heading 2 Char"/>
    <w:basedOn w:val="DefaultParagraphFont"/>
    <w:link w:val="Heading2"/>
    <w:rsid w:val="00FC61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1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1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1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1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1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1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19E"/>
    <w:rPr>
      <w:rFonts w:ascii="Courier New" w:eastAsia="Times New Roman" w:hAnsi="Courier New" w:cs="Times New Roman"/>
      <w:i/>
      <w:szCs w:val="20"/>
      <w:lang w:eastAsia="en-US"/>
    </w:rPr>
  </w:style>
  <w:style w:type="paragraph" w:customStyle="1" w:styleId="HeadingBase">
    <w:name w:val="Heading Base"/>
    <w:rsid w:val="00FC61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19E"/>
    <w:pPr>
      <w:tabs>
        <w:tab w:val="right" w:leader="dot" w:pos="9072"/>
      </w:tabs>
      <w:ind w:left="567"/>
    </w:pPr>
    <w:rPr>
      <w:szCs w:val="22"/>
    </w:rPr>
  </w:style>
  <w:style w:type="paragraph" w:customStyle="1" w:styleId="TOCBase">
    <w:name w:val="TOC Base"/>
    <w:rsid w:val="00FC61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19E"/>
    <w:pPr>
      <w:tabs>
        <w:tab w:val="right" w:leader="dot" w:pos="9072"/>
      </w:tabs>
      <w:spacing w:before="40" w:after="40"/>
      <w:ind w:left="284"/>
    </w:pPr>
    <w:rPr>
      <w:rFonts w:ascii="Times New Roman" w:hAnsi="Times New Roman"/>
    </w:rPr>
  </w:style>
  <w:style w:type="paragraph" w:styleId="TOC1">
    <w:name w:val="toc 1"/>
    <w:basedOn w:val="TOCBase"/>
    <w:next w:val="Normal"/>
    <w:rsid w:val="00FC61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1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19E"/>
    <w:rPr>
      <w:rFonts w:ascii="Times New Roman" w:eastAsia="Times New Roman" w:hAnsi="Times New Roman" w:cs="Times New Roman"/>
      <w:sz w:val="16"/>
      <w:lang w:eastAsia="en-US"/>
    </w:rPr>
  </w:style>
  <w:style w:type="paragraph" w:styleId="Title">
    <w:name w:val="Title"/>
    <w:basedOn w:val="HeadingBase"/>
    <w:link w:val="TitleChar"/>
    <w:qFormat/>
    <w:rsid w:val="00FC619E"/>
    <w:pPr>
      <w:spacing w:before="5040"/>
      <w:jc w:val="center"/>
    </w:pPr>
    <w:rPr>
      <w:sz w:val="48"/>
      <w:szCs w:val="72"/>
      <w:lang w:val="en-US"/>
    </w:rPr>
  </w:style>
  <w:style w:type="character" w:customStyle="1" w:styleId="TitleChar">
    <w:name w:val="Title Char"/>
    <w:basedOn w:val="DefaultParagraphFont"/>
    <w:link w:val="Title"/>
    <w:rsid w:val="00FC61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19E"/>
    <w:pPr>
      <w:tabs>
        <w:tab w:val="left" w:pos="3600"/>
        <w:tab w:val="left" w:pos="3958"/>
      </w:tabs>
    </w:pPr>
  </w:style>
  <w:style w:type="paragraph" w:customStyle="1" w:styleId="Note">
    <w:name w:val="Note"/>
    <w:basedOn w:val="BodyText"/>
    <w:rsid w:val="00FC61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19E"/>
    <w:pPr>
      <w:framePr w:wrap="auto" w:hAnchor="text" w:y="6049"/>
    </w:pPr>
    <w:rPr>
      <w:color w:val="000000"/>
      <w:sz w:val="40"/>
    </w:rPr>
  </w:style>
  <w:style w:type="paragraph" w:customStyle="1" w:styleId="TOCTitle">
    <w:name w:val="TOCTitle"/>
    <w:basedOn w:val="Heading1"/>
    <w:rsid w:val="00FC619E"/>
    <w:pPr>
      <w:spacing w:after="240"/>
      <w:jc w:val="center"/>
      <w:outlineLvl w:val="9"/>
    </w:pPr>
    <w:rPr>
      <w:caps/>
    </w:rPr>
  </w:style>
  <w:style w:type="paragraph" w:customStyle="1" w:styleId="Version">
    <w:name w:val="Version"/>
    <w:rsid w:val="00FC61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19E"/>
    <w:pPr>
      <w:keepNext w:val="0"/>
      <w:tabs>
        <w:tab w:val="right" w:pos="4176"/>
      </w:tabs>
      <w:ind w:left="198" w:hanging="198"/>
    </w:pPr>
    <w:rPr>
      <w:rFonts w:ascii="Garamond" w:hAnsi="Garamond"/>
    </w:rPr>
  </w:style>
  <w:style w:type="paragraph" w:styleId="IndexHeading">
    <w:name w:val="index heading"/>
    <w:basedOn w:val="Normal"/>
    <w:next w:val="Index1"/>
    <w:semiHidden/>
    <w:rsid w:val="00FC619E"/>
    <w:pPr>
      <w:spacing w:before="120" w:after="120"/>
    </w:pPr>
    <w:rPr>
      <w:rFonts w:ascii="Arial" w:hAnsi="Arial"/>
      <w:b/>
      <w:color w:val="918585"/>
      <w:sz w:val="24"/>
    </w:rPr>
  </w:style>
  <w:style w:type="paragraph" w:styleId="Header">
    <w:name w:val="header"/>
    <w:basedOn w:val="Normal"/>
    <w:link w:val="HeaderChar"/>
    <w:rsid w:val="00FC61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19E"/>
    <w:rPr>
      <w:rFonts w:ascii="Times New Roman" w:eastAsia="Times New Roman" w:hAnsi="Times New Roman" w:cs="Times New Roman"/>
      <w:sz w:val="16"/>
      <w:szCs w:val="20"/>
      <w:lang w:val="en-GB" w:eastAsia="en-US"/>
    </w:rPr>
  </w:style>
  <w:style w:type="paragraph" w:customStyle="1" w:styleId="Chapter">
    <w:name w:val="Chapter"/>
    <w:basedOn w:val="Normal"/>
    <w:rsid w:val="00FC619E"/>
    <w:pPr>
      <w:spacing w:before="240"/>
    </w:pPr>
    <w:rPr>
      <w:rFonts w:ascii="Times New Roman" w:hAnsi="Times New Roman"/>
      <w:smallCaps/>
      <w:spacing w:val="80"/>
      <w:sz w:val="28"/>
    </w:rPr>
  </w:style>
  <w:style w:type="paragraph" w:customStyle="1" w:styleId="InChapter">
    <w:name w:val="InChapter"/>
    <w:basedOn w:val="Heading3"/>
    <w:rsid w:val="00FC619E"/>
    <w:pPr>
      <w:spacing w:after="240"/>
      <w:outlineLvl w:val="9"/>
    </w:pPr>
    <w:rPr>
      <w:noProof/>
    </w:rPr>
  </w:style>
  <w:style w:type="paragraph" w:styleId="Index2">
    <w:name w:val="index 2"/>
    <w:basedOn w:val="Normal"/>
    <w:next w:val="Normal"/>
    <w:semiHidden/>
    <w:rsid w:val="00FC619E"/>
    <w:pPr>
      <w:tabs>
        <w:tab w:val="right" w:pos="4176"/>
      </w:tabs>
      <w:ind w:left="568" w:hanging="284"/>
    </w:pPr>
    <w:rPr>
      <w:rFonts w:ascii="Garamond" w:hAnsi="Garamond"/>
    </w:rPr>
  </w:style>
  <w:style w:type="paragraph" w:customStyle="1" w:styleId="Byline">
    <w:name w:val="Byline"/>
    <w:rsid w:val="00FC61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19E"/>
    <w:pPr>
      <w:tabs>
        <w:tab w:val="clear" w:pos="3600"/>
        <w:tab w:val="clear" w:pos="3958"/>
      </w:tabs>
      <w:jc w:val="right"/>
    </w:pPr>
  </w:style>
  <w:style w:type="character" w:styleId="Emphasis">
    <w:name w:val="Emphasis"/>
    <w:basedOn w:val="DefaultParagraphFont"/>
    <w:qFormat/>
    <w:rsid w:val="00FC619E"/>
    <w:rPr>
      <w:i/>
    </w:rPr>
  </w:style>
  <w:style w:type="paragraph" w:styleId="Caption">
    <w:name w:val="caption"/>
    <w:basedOn w:val="BodyText"/>
    <w:next w:val="Normal"/>
    <w:qFormat/>
    <w:rsid w:val="00FC619E"/>
    <w:pPr>
      <w:framePr w:w="2268" w:hSpace="181" w:vSpace="181" w:wrap="around" w:vAnchor="text" w:hAnchor="page" w:x="1135" w:y="285" w:anchorLock="1"/>
    </w:pPr>
    <w:rPr>
      <w:i/>
    </w:rPr>
  </w:style>
  <w:style w:type="paragraph" w:customStyle="1" w:styleId="MiniTOCTitle">
    <w:name w:val="MiniTOCTitle"/>
    <w:basedOn w:val="Heading4"/>
    <w:rsid w:val="00FC619E"/>
    <w:pPr>
      <w:spacing w:before="240"/>
      <w:outlineLvl w:val="9"/>
    </w:pPr>
    <w:rPr>
      <w:noProof/>
      <w:sz w:val="24"/>
    </w:rPr>
  </w:style>
  <w:style w:type="paragraph" w:customStyle="1" w:styleId="MiniTOCItem">
    <w:name w:val="MiniTOCItem"/>
    <w:basedOn w:val="ListBullet"/>
    <w:rsid w:val="00FC619E"/>
    <w:pPr>
      <w:numPr>
        <w:numId w:val="0"/>
      </w:numPr>
      <w:tabs>
        <w:tab w:val="right" w:leader="dot" w:pos="6521"/>
      </w:tabs>
      <w:spacing w:before="0" w:after="0"/>
    </w:pPr>
  </w:style>
  <w:style w:type="paragraph" w:customStyle="1" w:styleId="TOFTitle">
    <w:name w:val="TOFTitle"/>
    <w:basedOn w:val="TOCTitle"/>
    <w:rsid w:val="00FC619E"/>
  </w:style>
  <w:style w:type="paragraph" w:styleId="TableofFigures">
    <w:name w:val="table of figures"/>
    <w:basedOn w:val="Normal"/>
    <w:next w:val="Normal"/>
    <w:semiHidden/>
    <w:rsid w:val="00FC619E"/>
    <w:pPr>
      <w:tabs>
        <w:tab w:val="right" w:leader="dot" w:pos="9072"/>
      </w:tabs>
      <w:ind w:left="970" w:hanging="403"/>
    </w:pPr>
    <w:rPr>
      <w:rFonts w:ascii="Times New Roman" w:hAnsi="Times New Roman"/>
      <w:b/>
    </w:rPr>
  </w:style>
  <w:style w:type="paragraph" w:styleId="ListNumber">
    <w:name w:val="List Number"/>
    <w:basedOn w:val="List"/>
    <w:rsid w:val="00FC619E"/>
    <w:pPr>
      <w:numPr>
        <w:numId w:val="15"/>
      </w:numPr>
      <w:tabs>
        <w:tab w:val="clear" w:pos="340"/>
      </w:tabs>
    </w:pPr>
  </w:style>
  <w:style w:type="character" w:customStyle="1" w:styleId="WingdingSymbols">
    <w:name w:val="Wingding Symbols"/>
    <w:rsid w:val="00FC619E"/>
    <w:rPr>
      <w:rFonts w:ascii="Wingdings" w:hAnsi="Wingdings"/>
    </w:rPr>
  </w:style>
  <w:style w:type="paragraph" w:customStyle="1" w:styleId="TableHeading">
    <w:name w:val="Table Heading"/>
    <w:basedOn w:val="HeadingBase"/>
    <w:rsid w:val="00FC619E"/>
    <w:pPr>
      <w:keepLines/>
      <w:pBdr>
        <w:bottom w:val="single" w:sz="6" w:space="1" w:color="918585"/>
      </w:pBdr>
      <w:spacing w:before="240"/>
    </w:pPr>
  </w:style>
  <w:style w:type="character" w:customStyle="1" w:styleId="HotSpot">
    <w:name w:val="HotSpot"/>
    <w:rsid w:val="00FC619E"/>
    <w:rPr>
      <w:color w:val="0033CC"/>
      <w:u w:val="none"/>
    </w:rPr>
  </w:style>
  <w:style w:type="paragraph" w:customStyle="1" w:styleId="BodyTextRight">
    <w:name w:val="Body Text Right"/>
    <w:basedOn w:val="BodyText"/>
    <w:rsid w:val="00FC619E"/>
    <w:pPr>
      <w:spacing w:before="0" w:after="0"/>
      <w:jc w:val="right"/>
    </w:pPr>
  </w:style>
  <w:style w:type="paragraph" w:styleId="Index3">
    <w:name w:val="index 3"/>
    <w:basedOn w:val="ListNumber2"/>
    <w:next w:val="Normal"/>
    <w:semiHidden/>
    <w:rsid w:val="00FC619E"/>
    <w:pPr>
      <w:numPr>
        <w:numId w:val="0"/>
      </w:numPr>
      <w:tabs>
        <w:tab w:val="right" w:leader="dot" w:pos="4176"/>
      </w:tabs>
    </w:pPr>
  </w:style>
  <w:style w:type="paragraph" w:styleId="ListNumber2">
    <w:name w:val="List Number 2"/>
    <w:basedOn w:val="List2"/>
    <w:rsid w:val="00FC619E"/>
    <w:pPr>
      <w:numPr>
        <w:numId w:val="10"/>
      </w:numPr>
      <w:tabs>
        <w:tab w:val="clear" w:pos="1060"/>
      </w:tabs>
    </w:pPr>
  </w:style>
  <w:style w:type="paragraph" w:customStyle="1" w:styleId="MarginNote">
    <w:name w:val="Margin Note"/>
    <w:basedOn w:val="BodyText"/>
    <w:rsid w:val="00FC61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1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1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19E"/>
    <w:rPr>
      <w:sz w:val="32"/>
    </w:rPr>
  </w:style>
  <w:style w:type="paragraph" w:customStyle="1" w:styleId="HeadingProcedure">
    <w:name w:val="Heading Procedure"/>
    <w:basedOn w:val="HeadingBase"/>
    <w:next w:val="Normal"/>
    <w:rsid w:val="00FC619E"/>
    <w:pPr>
      <w:tabs>
        <w:tab w:val="left" w:pos="0"/>
      </w:tabs>
      <w:spacing w:before="120" w:after="60"/>
    </w:pPr>
    <w:rPr>
      <w:i/>
      <w:color w:val="918585"/>
      <w:sz w:val="22"/>
    </w:rPr>
  </w:style>
  <w:style w:type="paragraph" w:customStyle="1" w:styleId="TableBodyText">
    <w:name w:val="Table Body Text"/>
    <w:basedOn w:val="BodyText"/>
    <w:rsid w:val="00FC619E"/>
    <w:pPr>
      <w:spacing w:before="60" w:after="60"/>
    </w:pPr>
  </w:style>
  <w:style w:type="paragraph" w:styleId="ListContinue">
    <w:name w:val="List Continue"/>
    <w:basedOn w:val="List"/>
    <w:rsid w:val="00FC619E"/>
    <w:pPr>
      <w:ind w:firstLine="0"/>
    </w:pPr>
  </w:style>
  <w:style w:type="paragraph" w:customStyle="1" w:styleId="ListNote">
    <w:name w:val="List Note"/>
    <w:basedOn w:val="List"/>
    <w:rsid w:val="00FC619E"/>
    <w:pPr>
      <w:pBdr>
        <w:top w:val="single" w:sz="6" w:space="2" w:color="918585"/>
        <w:bottom w:val="single" w:sz="6" w:space="2" w:color="918585"/>
      </w:pBdr>
      <w:tabs>
        <w:tab w:val="left" w:pos="1021"/>
      </w:tabs>
      <w:ind w:firstLine="0"/>
    </w:pPr>
  </w:style>
  <w:style w:type="paragraph" w:customStyle="1" w:styleId="Warning">
    <w:name w:val="Warning"/>
    <w:basedOn w:val="BodyText"/>
    <w:rsid w:val="00FC619E"/>
    <w:pPr>
      <w:shd w:val="clear" w:color="auto" w:fill="D9D9D9"/>
      <w:tabs>
        <w:tab w:val="left" w:pos="992"/>
      </w:tabs>
      <w:ind w:left="119" w:right="119"/>
    </w:pPr>
    <w:rPr>
      <w:sz w:val="20"/>
    </w:rPr>
  </w:style>
  <w:style w:type="paragraph" w:customStyle="1" w:styleId="MarginIcons">
    <w:name w:val="Margin Icons"/>
    <w:basedOn w:val="BodyText"/>
    <w:rsid w:val="00FC61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19E"/>
    <w:rPr>
      <w:rFonts w:ascii="Courier New" w:hAnsi="Courier New"/>
    </w:rPr>
  </w:style>
  <w:style w:type="paragraph" w:customStyle="1" w:styleId="NoteBullet">
    <w:name w:val="Note Bullet"/>
    <w:basedOn w:val="Note"/>
    <w:rsid w:val="00FC619E"/>
    <w:pPr>
      <w:tabs>
        <w:tab w:val="clear" w:pos="680"/>
      </w:tabs>
      <w:spacing w:before="60" w:after="60"/>
    </w:pPr>
  </w:style>
  <w:style w:type="paragraph" w:customStyle="1" w:styleId="SubHeading2">
    <w:name w:val="SubHeading2"/>
    <w:basedOn w:val="HeadingBase"/>
    <w:rsid w:val="00FC619E"/>
    <w:pPr>
      <w:spacing w:before="240" w:after="60"/>
    </w:pPr>
    <w:rPr>
      <w:sz w:val="20"/>
    </w:rPr>
  </w:style>
  <w:style w:type="paragraph" w:customStyle="1" w:styleId="SubHeading1">
    <w:name w:val="SubHeading1"/>
    <w:basedOn w:val="HeadingBase"/>
    <w:rsid w:val="00FC619E"/>
    <w:pPr>
      <w:spacing w:before="240" w:after="60"/>
    </w:pPr>
    <w:rPr>
      <w:color w:val="918585"/>
      <w:sz w:val="22"/>
    </w:rPr>
  </w:style>
  <w:style w:type="paragraph" w:customStyle="1" w:styleId="SideHeading">
    <w:name w:val="Side Heading"/>
    <w:basedOn w:val="HeadingBase"/>
    <w:rsid w:val="00FC61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19E"/>
    <w:pPr>
      <w:tabs>
        <w:tab w:val="num" w:pos="360"/>
      </w:tabs>
    </w:pPr>
  </w:style>
  <w:style w:type="paragraph" w:styleId="PlainText">
    <w:name w:val="Plain Text"/>
    <w:basedOn w:val="Normal"/>
    <w:link w:val="PlainTextChar"/>
    <w:rsid w:val="00FC619E"/>
    <w:rPr>
      <w:sz w:val="20"/>
    </w:rPr>
  </w:style>
  <w:style w:type="character" w:customStyle="1" w:styleId="PlainTextChar">
    <w:name w:val="Plain Text Char"/>
    <w:basedOn w:val="DefaultParagraphFont"/>
    <w:link w:val="PlainText"/>
    <w:rsid w:val="00FC619E"/>
    <w:rPr>
      <w:rFonts w:ascii="Courier New" w:eastAsia="Times New Roman" w:hAnsi="Courier New" w:cs="Times New Roman"/>
      <w:sz w:val="20"/>
      <w:szCs w:val="20"/>
      <w:lang w:eastAsia="en-US"/>
    </w:rPr>
  </w:style>
  <w:style w:type="character" w:customStyle="1" w:styleId="MenuOption">
    <w:name w:val="Menu Option"/>
    <w:basedOn w:val="DefaultParagraphFont"/>
    <w:rsid w:val="00FC619E"/>
    <w:rPr>
      <w:b/>
      <w:smallCaps/>
    </w:rPr>
  </w:style>
  <w:style w:type="paragraph" w:customStyle="1" w:styleId="TableListNumber">
    <w:name w:val="Table List Number"/>
    <w:basedOn w:val="ListNumber"/>
    <w:rsid w:val="00FC619E"/>
    <w:pPr>
      <w:numPr>
        <w:numId w:val="0"/>
      </w:numPr>
    </w:pPr>
  </w:style>
  <w:style w:type="paragraph" w:styleId="TOC4">
    <w:name w:val="toc 4"/>
    <w:basedOn w:val="TOCBase"/>
    <w:next w:val="Normal"/>
    <w:semiHidden/>
    <w:rsid w:val="00FC619E"/>
    <w:pPr>
      <w:tabs>
        <w:tab w:val="right" w:leader="dot" w:pos="9071"/>
      </w:tabs>
      <w:ind w:left="1701"/>
    </w:pPr>
  </w:style>
  <w:style w:type="paragraph" w:customStyle="1" w:styleId="ListAlpha">
    <w:name w:val="List Alpha"/>
    <w:basedOn w:val="List"/>
    <w:rsid w:val="00FC619E"/>
    <w:pPr>
      <w:numPr>
        <w:numId w:val="9"/>
      </w:numPr>
    </w:pPr>
  </w:style>
  <w:style w:type="paragraph" w:customStyle="1" w:styleId="ListAlpha2">
    <w:name w:val="List Alpha 2"/>
    <w:basedOn w:val="List2"/>
    <w:rsid w:val="00FC619E"/>
    <w:pPr>
      <w:numPr>
        <w:numId w:val="8"/>
      </w:numPr>
    </w:pPr>
  </w:style>
  <w:style w:type="paragraph" w:styleId="List2">
    <w:name w:val="List 2"/>
    <w:basedOn w:val="BodyText"/>
    <w:rsid w:val="00FC619E"/>
    <w:pPr>
      <w:tabs>
        <w:tab w:val="left" w:pos="680"/>
      </w:tabs>
      <w:spacing w:before="60" w:after="60"/>
      <w:ind w:left="680" w:hanging="340"/>
    </w:pPr>
  </w:style>
  <w:style w:type="paragraph" w:styleId="List3">
    <w:name w:val="List 3"/>
    <w:basedOn w:val="BodyText"/>
    <w:rsid w:val="00FC619E"/>
    <w:pPr>
      <w:tabs>
        <w:tab w:val="left" w:pos="1021"/>
      </w:tabs>
      <w:spacing w:before="60" w:after="60"/>
      <w:ind w:left="1020" w:hanging="340"/>
    </w:pPr>
  </w:style>
  <w:style w:type="paragraph" w:styleId="List4">
    <w:name w:val="List 4"/>
    <w:basedOn w:val="BodyText"/>
    <w:rsid w:val="00FC619E"/>
    <w:pPr>
      <w:tabs>
        <w:tab w:val="left" w:pos="1361"/>
      </w:tabs>
      <w:spacing w:before="60" w:after="60"/>
      <w:ind w:left="1361" w:hanging="340"/>
    </w:pPr>
  </w:style>
  <w:style w:type="paragraph" w:styleId="List5">
    <w:name w:val="List 5"/>
    <w:basedOn w:val="BodyText"/>
    <w:rsid w:val="00FC619E"/>
    <w:pPr>
      <w:tabs>
        <w:tab w:val="left" w:pos="1701"/>
      </w:tabs>
      <w:spacing w:before="60" w:after="60"/>
      <w:ind w:left="1701" w:hanging="340"/>
    </w:pPr>
  </w:style>
  <w:style w:type="paragraph" w:styleId="ListBullet3">
    <w:name w:val="List Bullet 3"/>
    <w:basedOn w:val="List3"/>
    <w:rsid w:val="00FC619E"/>
    <w:pPr>
      <w:numPr>
        <w:numId w:val="14"/>
      </w:numPr>
      <w:tabs>
        <w:tab w:val="clear" w:pos="1021"/>
      </w:tabs>
      <w:ind w:left="1037" w:hanging="357"/>
    </w:pPr>
  </w:style>
  <w:style w:type="paragraph" w:styleId="ListBullet4">
    <w:name w:val="List Bullet 4"/>
    <w:basedOn w:val="List4"/>
    <w:rsid w:val="00FC619E"/>
    <w:pPr>
      <w:numPr>
        <w:numId w:val="3"/>
      </w:numPr>
      <w:tabs>
        <w:tab w:val="clear" w:pos="1361"/>
      </w:tabs>
    </w:pPr>
  </w:style>
  <w:style w:type="paragraph" w:styleId="ListBullet5">
    <w:name w:val="List Bullet 5"/>
    <w:basedOn w:val="List5"/>
    <w:rsid w:val="00FC619E"/>
    <w:pPr>
      <w:numPr>
        <w:numId w:val="4"/>
      </w:numPr>
    </w:pPr>
  </w:style>
  <w:style w:type="paragraph" w:styleId="ListContinue2">
    <w:name w:val="List Continue 2"/>
    <w:basedOn w:val="List2"/>
    <w:rsid w:val="00FC619E"/>
    <w:pPr>
      <w:ind w:firstLine="0"/>
    </w:pPr>
  </w:style>
  <w:style w:type="paragraph" w:styleId="ListContinue3">
    <w:name w:val="List Continue 3"/>
    <w:basedOn w:val="List3"/>
    <w:rsid w:val="00FC619E"/>
    <w:pPr>
      <w:ind w:left="1021" w:firstLine="0"/>
    </w:pPr>
  </w:style>
  <w:style w:type="paragraph" w:styleId="ListContinue4">
    <w:name w:val="List Continue 4"/>
    <w:basedOn w:val="List4"/>
    <w:rsid w:val="00FC619E"/>
    <w:pPr>
      <w:ind w:firstLine="0"/>
    </w:pPr>
  </w:style>
  <w:style w:type="paragraph" w:styleId="ListContinue5">
    <w:name w:val="List Continue 5"/>
    <w:basedOn w:val="List5"/>
    <w:rsid w:val="00FC619E"/>
    <w:pPr>
      <w:ind w:firstLine="0"/>
    </w:pPr>
  </w:style>
  <w:style w:type="paragraph" w:styleId="ListNumber3">
    <w:name w:val="List Number 3"/>
    <w:basedOn w:val="List3"/>
    <w:rsid w:val="00FC619E"/>
    <w:pPr>
      <w:numPr>
        <w:numId w:val="5"/>
      </w:numPr>
    </w:pPr>
  </w:style>
  <w:style w:type="paragraph" w:styleId="ListNumber4">
    <w:name w:val="List Number 4"/>
    <w:basedOn w:val="List4"/>
    <w:rsid w:val="00FC619E"/>
    <w:pPr>
      <w:numPr>
        <w:numId w:val="6"/>
      </w:numPr>
    </w:pPr>
  </w:style>
  <w:style w:type="paragraph" w:styleId="ListNumber5">
    <w:name w:val="List Number 5"/>
    <w:basedOn w:val="List5"/>
    <w:rsid w:val="00FC619E"/>
    <w:pPr>
      <w:numPr>
        <w:numId w:val="7"/>
      </w:numPr>
    </w:pPr>
  </w:style>
  <w:style w:type="paragraph" w:styleId="BlockText">
    <w:name w:val="Block Text"/>
    <w:basedOn w:val="Normal"/>
    <w:rsid w:val="00FC619E"/>
    <w:pPr>
      <w:spacing w:after="120"/>
      <w:ind w:left="1440" w:right="1440"/>
    </w:pPr>
  </w:style>
  <w:style w:type="character" w:customStyle="1" w:styleId="Subscript">
    <w:name w:val="Subscript"/>
    <w:basedOn w:val="DefaultParagraphFont"/>
    <w:rsid w:val="00FC619E"/>
    <w:rPr>
      <w:sz w:val="16"/>
      <w:vertAlign w:val="subscript"/>
    </w:rPr>
  </w:style>
  <w:style w:type="character" w:customStyle="1" w:styleId="Superscript">
    <w:name w:val="Superscript"/>
    <w:basedOn w:val="DefaultParagraphFont"/>
    <w:rsid w:val="00FC619E"/>
    <w:rPr>
      <w:sz w:val="16"/>
      <w:vertAlign w:val="superscript"/>
    </w:rPr>
  </w:style>
  <w:style w:type="character" w:customStyle="1" w:styleId="Symbols">
    <w:name w:val="Symbols"/>
    <w:basedOn w:val="DefaultParagraphFont"/>
    <w:rsid w:val="00FC619E"/>
    <w:rPr>
      <w:rFonts w:ascii="Symbol" w:hAnsi="Symbol"/>
    </w:rPr>
  </w:style>
  <w:style w:type="character" w:customStyle="1" w:styleId="MenuOptions">
    <w:name w:val="Menu Options"/>
    <w:basedOn w:val="DefaultParagraphFont"/>
    <w:rsid w:val="00FC619E"/>
    <w:rPr>
      <w:rFonts w:ascii="Arial Narrow" w:hAnsi="Arial Narrow"/>
      <w:smallCaps/>
    </w:rPr>
  </w:style>
  <w:style w:type="character" w:customStyle="1" w:styleId="Buttons">
    <w:name w:val="Buttons"/>
    <w:basedOn w:val="DefaultParagraphFont"/>
    <w:rsid w:val="00FC619E"/>
    <w:rPr>
      <w:b/>
    </w:rPr>
  </w:style>
  <w:style w:type="character" w:customStyle="1" w:styleId="Underlined">
    <w:name w:val="Underlined"/>
    <w:basedOn w:val="DefaultParagraphFont"/>
    <w:rsid w:val="00FC619E"/>
    <w:rPr>
      <w:u w:val="single"/>
    </w:rPr>
  </w:style>
  <w:style w:type="paragraph" w:customStyle="1" w:styleId="TableBodyTextRight">
    <w:name w:val="Table Body Text Right"/>
    <w:basedOn w:val="TableBodyText"/>
    <w:rsid w:val="00FC619E"/>
    <w:pPr>
      <w:widowControl w:val="0"/>
      <w:autoSpaceDE w:val="0"/>
      <w:autoSpaceDN w:val="0"/>
      <w:adjustRightInd w:val="0"/>
      <w:jc w:val="right"/>
    </w:pPr>
    <w:rPr>
      <w:rFonts w:cs="Arial"/>
      <w:szCs w:val="18"/>
    </w:rPr>
  </w:style>
  <w:style w:type="paragraph" w:customStyle="1" w:styleId="CopyrightText">
    <w:name w:val="Copyright Text"/>
    <w:basedOn w:val="BodyText"/>
    <w:rsid w:val="00FC619E"/>
    <w:rPr>
      <w:sz w:val="18"/>
    </w:rPr>
  </w:style>
  <w:style w:type="paragraph" w:customStyle="1" w:styleId="BodySmallRight">
    <w:name w:val="Body Small Right"/>
    <w:basedOn w:val="BodyTextRight"/>
    <w:rsid w:val="00FC619E"/>
    <w:rPr>
      <w:sz w:val="18"/>
      <w:szCs w:val="18"/>
    </w:rPr>
  </w:style>
  <w:style w:type="paragraph" w:customStyle="1" w:styleId="MarginEdition">
    <w:name w:val="Margin Edition"/>
    <w:basedOn w:val="MarginNote"/>
    <w:rsid w:val="00FC619E"/>
    <w:pPr>
      <w:spacing w:before="0" w:after="0"/>
    </w:pPr>
    <w:rPr>
      <w:rFonts w:ascii="Times New Roman" w:hAnsi="Times New Roman"/>
      <w:color w:val="999999"/>
    </w:rPr>
  </w:style>
  <w:style w:type="paragraph" w:customStyle="1" w:styleId="Spacer">
    <w:name w:val="Spacer"/>
    <w:basedOn w:val="Normal"/>
    <w:rsid w:val="00FC619E"/>
    <w:rPr>
      <w:sz w:val="2"/>
      <w:szCs w:val="2"/>
    </w:rPr>
  </w:style>
  <w:style w:type="character" w:customStyle="1" w:styleId="Small">
    <w:name w:val="Small"/>
    <w:basedOn w:val="DefaultParagraphFont"/>
    <w:rsid w:val="00FC619E"/>
    <w:rPr>
      <w:sz w:val="16"/>
    </w:rPr>
  </w:style>
  <w:style w:type="paragraph" w:customStyle="1" w:styleId="WideTable">
    <w:name w:val="Wide Table"/>
    <w:basedOn w:val="Normal"/>
    <w:rsid w:val="00FC619E"/>
    <w:pPr>
      <w:ind w:left="-1418"/>
    </w:pPr>
    <w:rPr>
      <w:sz w:val="2"/>
      <w:szCs w:val="2"/>
    </w:rPr>
  </w:style>
  <w:style w:type="character" w:styleId="PageNumber">
    <w:name w:val="page number"/>
    <w:basedOn w:val="DefaultParagraphFont"/>
    <w:rsid w:val="00FC619E"/>
  </w:style>
  <w:style w:type="paragraph" w:styleId="Quote">
    <w:name w:val="Quote"/>
    <w:basedOn w:val="Heading1"/>
    <w:link w:val="QuoteChar"/>
    <w:qFormat/>
    <w:rsid w:val="00FC619E"/>
    <w:rPr>
      <w:b w:val="0"/>
      <w:sz w:val="72"/>
      <w:szCs w:val="72"/>
      <w:lang w:val="en-NZ"/>
    </w:rPr>
  </w:style>
  <w:style w:type="character" w:customStyle="1" w:styleId="QuoteChar">
    <w:name w:val="Quote Char"/>
    <w:basedOn w:val="DefaultParagraphFont"/>
    <w:link w:val="Quote"/>
    <w:rsid w:val="00FC61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19E"/>
    <w:pPr>
      <w:pageBreakBefore/>
    </w:pPr>
  </w:style>
  <w:style w:type="paragraph" w:customStyle="1" w:styleId="Border">
    <w:name w:val="Border"/>
    <w:basedOn w:val="Normal"/>
    <w:qFormat/>
    <w:rsid w:val="00FC61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19E"/>
    <w:rPr>
      <w:b/>
      <w:bCs/>
      <w:i/>
      <w:iCs/>
      <w:color w:val="auto"/>
    </w:rPr>
  </w:style>
  <w:style w:type="paragraph" w:styleId="IntenseQuote">
    <w:name w:val="Intense Quote"/>
    <w:basedOn w:val="Normal"/>
    <w:next w:val="Normal"/>
    <w:link w:val="IntenseQuoteChar"/>
    <w:uiPriority w:val="30"/>
    <w:qFormat/>
    <w:rsid w:val="00FC61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1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19E"/>
    <w:rPr>
      <w:smallCaps/>
      <w:color w:val="auto"/>
      <w:u w:val="single"/>
    </w:rPr>
  </w:style>
  <w:style w:type="character" w:styleId="IntenseReference">
    <w:name w:val="Intense Reference"/>
    <w:basedOn w:val="DefaultParagraphFont"/>
    <w:uiPriority w:val="32"/>
    <w:qFormat/>
    <w:rsid w:val="00FC619E"/>
    <w:rPr>
      <w:b/>
      <w:bCs/>
      <w:smallCaps/>
      <w:color w:val="auto"/>
      <w:spacing w:val="5"/>
      <w:u w:val="single"/>
    </w:rPr>
  </w:style>
  <w:style w:type="paragraph" w:customStyle="1" w:styleId="2ColumnHeading">
    <w:name w:val="2Column Heading"/>
    <w:basedOn w:val="BodyText"/>
    <w:qFormat/>
    <w:rsid w:val="00FC619E"/>
    <w:pPr>
      <w:spacing w:after="60"/>
      <w:ind w:left="-2268"/>
    </w:pPr>
    <w:rPr>
      <w:b/>
    </w:rPr>
  </w:style>
  <w:style w:type="paragraph" w:customStyle="1" w:styleId="Heading1TOC">
    <w:name w:val="Heading1 TOC"/>
    <w:basedOn w:val="Normal"/>
    <w:qFormat/>
    <w:rsid w:val="00FC619E"/>
    <w:pPr>
      <w:spacing w:before="240" w:after="120"/>
    </w:pPr>
    <w:rPr>
      <w:rFonts w:ascii="Times New Roman" w:hAnsi="Times New Roman"/>
      <w:b/>
      <w:sz w:val="32"/>
    </w:rPr>
  </w:style>
  <w:style w:type="paragraph" w:customStyle="1" w:styleId="Heading2TOC">
    <w:name w:val="Heading2 TOC"/>
    <w:basedOn w:val="Normal"/>
    <w:qFormat/>
    <w:rsid w:val="00FC619E"/>
    <w:pPr>
      <w:spacing w:before="240" w:after="60"/>
    </w:pPr>
    <w:rPr>
      <w:rFonts w:ascii="Times New Roman" w:hAnsi="Times New Roman"/>
      <w:b/>
      <w:sz w:val="28"/>
    </w:rPr>
  </w:style>
  <w:style w:type="character" w:customStyle="1" w:styleId="Underline">
    <w:name w:val="Underline"/>
    <w:basedOn w:val="DefaultParagraphFont"/>
    <w:qFormat/>
    <w:rsid w:val="00FC619E"/>
    <w:rPr>
      <w:u w:val="single"/>
    </w:rPr>
  </w:style>
  <w:style w:type="character" w:customStyle="1" w:styleId="BoldandItalics">
    <w:name w:val="Bold and Italics"/>
    <w:qFormat/>
    <w:rsid w:val="00FC619E"/>
    <w:rPr>
      <w:b/>
      <w:i/>
      <w:u w:val="none"/>
    </w:rPr>
  </w:style>
  <w:style w:type="paragraph" w:styleId="BalloonText">
    <w:name w:val="Balloon Text"/>
    <w:basedOn w:val="Normal"/>
    <w:link w:val="BalloonTextChar"/>
    <w:rsid w:val="00FC619E"/>
    <w:rPr>
      <w:rFonts w:ascii="Tahoma" w:hAnsi="Tahoma" w:cs="Tahoma"/>
      <w:sz w:val="16"/>
      <w:szCs w:val="16"/>
    </w:rPr>
  </w:style>
  <w:style w:type="character" w:customStyle="1" w:styleId="BalloonTextChar">
    <w:name w:val="Balloon Text Char"/>
    <w:basedOn w:val="DefaultParagraphFont"/>
    <w:link w:val="BalloonText"/>
    <w:rsid w:val="00FC61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1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1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19E"/>
    <w:rPr>
      <w:b/>
      <w:color w:val="660033"/>
      <w:spacing w:val="0"/>
    </w:rPr>
  </w:style>
  <w:style w:type="paragraph" w:customStyle="1" w:styleId="Nameditemlist">
    <w:name w:val="Named item list"/>
    <w:basedOn w:val="BodyText"/>
    <w:qFormat/>
    <w:rsid w:val="00FC619E"/>
    <w:pPr>
      <w:tabs>
        <w:tab w:val="left" w:pos="2835"/>
      </w:tabs>
      <w:ind w:left="2835" w:hanging="2835"/>
    </w:pPr>
  </w:style>
  <w:style w:type="paragraph" w:customStyle="1" w:styleId="BodyTextnopadding">
    <w:name w:val="Body Text no padding"/>
    <w:basedOn w:val="BodyText"/>
    <w:qFormat/>
    <w:rsid w:val="00FC619E"/>
    <w:pPr>
      <w:spacing w:before="0" w:after="0"/>
    </w:pPr>
  </w:style>
  <w:style w:type="character" w:styleId="Hyperlink">
    <w:name w:val="Hyperlink"/>
    <w:basedOn w:val="DefaultParagraphFont"/>
    <w:uiPriority w:val="99"/>
    <w:unhideWhenUsed/>
    <w:rsid w:val="00003F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1030</Words>
  <Characters>6676</Characters>
  <Application>Microsoft Office Word</Application>
  <DocSecurity>0</DocSecurity>
  <Lines>158</Lines>
  <Paragraphs>113</Paragraphs>
  <ScaleCrop>false</ScaleCrop>
  <Company>Author-it Software Corporation Ltd.</Company>
  <LinksUpToDate>false</LinksUpToDate>
  <CharactersWithSpaces>7593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RIISRM301E Blend stockpile materials</dc:title>
  <dc:subject>Approved</dc:subject>
  <dc:creator>PwC’s Skills for Australia</dc:creator>
  <cp:keywords>Release: 1</cp:keywords>
  <dc:description>Review Date: 12 April 2008</dc:description>
  <cp:lastModifiedBy>HSD_TPCMSd.prod</cp:lastModifiedBy>
  <cp:revision>3</cp:revision>
  <dcterms:created xsi:type="dcterms:W3CDTF">2022-10-18T14:34:00Z</dcterms:created>
  <dcterms:modified xsi:type="dcterms:W3CDTF">2022-10-18T14:34:00Z</dcterms:modified>
</cp:coreProperties>
</file>