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315" w:rsidP="00FC5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RIISAM403D Commission/recommission plant</w:t>
      </w:r>
      <w:r>
        <w:fldChar w:fldCharType="end"/>
      </w:r>
    </w:p>
    <w:p w:rsidR="00FC5315" w:rsidP="00FC5315">
      <w:pPr>
        <w:pStyle w:val="Version"/>
        <w:sectPr w:rsidSect="00466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625C" w:rsidP="0046625C">
      <w:pPr>
        <w:pStyle w:val="SuperHeading"/>
      </w:pPr>
      <w:r w:rsidRPr="0046625C">
        <w:t>Assessment Requirements for RIISAM403D Commission/recommission plant</w:t>
      </w:r>
    </w:p>
    <w:p w:rsidR="00000000" w:rsidRPr="0046625C" w:rsidP="0046625C">
      <w:pPr>
        <w:pStyle w:val="Heading1"/>
      </w:pPr>
      <w:bookmarkStart w:id="1" w:name="O_683505"/>
      <w:bookmarkEnd w:id="1"/>
      <w:r w:rsidRPr="004662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C5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5C">
            <w:pPr>
              <w:pStyle w:val="Heading4"/>
              <w:rPr>
                <w:lang w:val="en-NZ"/>
              </w:rPr>
            </w:pPr>
            <w:r w:rsidRPr="0046625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5C">
            <w:pPr>
              <w:pStyle w:val="Heading4"/>
              <w:rPr>
                <w:lang w:val="en-NZ"/>
              </w:rPr>
            </w:pPr>
            <w:r w:rsidRPr="0046625C">
              <w:t>Comment</w:t>
            </w:r>
          </w:p>
        </w:tc>
      </w:tr>
      <w:tr w:rsidTr="00FC5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This unit replaces RIISAM403A Commission/recommission plant</w:t>
            </w:r>
          </w:p>
        </w:tc>
      </w:tr>
      <w:tr w:rsidTr="00FC5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25C" w:rsidP="0046625C">
            <w:pPr>
              <w:pStyle w:val="BodyText"/>
            </w:pPr>
            <w:r w:rsidRPr="0046625C">
              <w:t>Required frequency and volume of evidence amended in Performance evidence.</w:t>
            </w:r>
          </w:p>
          <w:p w:rsidR="00000000" w:rsidRPr="0046625C" w:rsidP="0046625C">
            <w:pPr>
              <w:pStyle w:val="BodyText"/>
            </w:pPr>
            <w:r w:rsidRPr="0046625C">
              <w:t>Substantial amendments made in Assessment Conditions field, including: references to Industry Sectors, assessor and subject matter expert experience requirements, how assessment sho</w:t>
            </w:r>
            <w:r w:rsidRPr="0046625C">
              <w:t>uld be conducted and what it should confirm.</w:t>
            </w:r>
          </w:p>
        </w:tc>
      </w:tr>
    </w:tbl>
    <w:p w:rsidR="00000000" w:rsidRPr="0046625C" w:rsidP="0046625C">
      <w:pPr>
        <w:pStyle w:val="BodyText"/>
      </w:pPr>
    </w:p>
    <w:p w:rsidR="00000000" w:rsidRPr="0046625C" w:rsidP="0046625C">
      <w:pPr>
        <w:pStyle w:val="AllowPageBreak"/>
      </w:pPr>
    </w:p>
    <w:p w:rsidR="00000000" w:rsidRPr="0046625C" w:rsidP="0046625C">
      <w:pPr>
        <w:pStyle w:val="Heading1"/>
      </w:pPr>
      <w:bookmarkStart w:id="2" w:name="O_683504"/>
      <w:bookmarkEnd w:id="2"/>
      <w:r w:rsidRPr="0046625C">
        <w:t>Performance Evidence</w:t>
      </w:r>
    </w:p>
    <w:p w:rsidR="00000000" w:rsidRPr="0046625C" w:rsidP="00FC5315">
      <w:pPr>
        <w:pStyle w:val="BodyText"/>
      </w:pPr>
      <w:r w:rsidRPr="0046625C">
        <w:t>Evidence is required to be collected that demonstrates a candidate’s competency in this unit. Evidence must be relevant to the roles within this sector’s work operations a</w:t>
      </w:r>
      <w:r w:rsidRPr="0046625C">
        <w:t>nd satisfy all of the requirements of the performance criteria of this unit and include that the candidate:</w:t>
      </w:r>
    </w:p>
    <w:p w:rsidR="00000000" w:rsidRPr="0046625C" w:rsidP="0046625C">
      <w:pPr>
        <w:pStyle w:val="ListBullet"/>
      </w:pPr>
      <w:r w:rsidRPr="0046625C">
        <w:t>locates and applies relevant legislation, documentation, policies and procedures</w:t>
      </w:r>
    </w:p>
    <w:p w:rsidR="00000000" w:rsidRPr="0046625C" w:rsidP="0046625C">
      <w:pPr>
        <w:pStyle w:val="ListBullet"/>
      </w:pPr>
      <w:r w:rsidRPr="0046625C">
        <w:t>implements the requirements, procedures and techniques for the safe, effective and efficient commissioning or recommissioning of plant including:</w:t>
      </w:r>
    </w:p>
    <w:p w:rsidR="00000000" w:rsidRPr="0046625C" w:rsidP="0046625C">
      <w:pPr>
        <w:pStyle w:val="ListBullet2"/>
      </w:pPr>
      <w:r w:rsidRPr="0046625C">
        <w:t xml:space="preserve">managing information </w:t>
      </w:r>
    </w:p>
    <w:p w:rsidR="00000000" w:rsidRPr="0046625C" w:rsidP="0046625C">
      <w:pPr>
        <w:pStyle w:val="ListBullet2"/>
      </w:pPr>
      <w:r w:rsidRPr="0046625C">
        <w:t>accessing, interpreting and applying technical and safety information</w:t>
      </w:r>
    </w:p>
    <w:p w:rsidR="00000000" w:rsidRPr="0046625C" w:rsidP="0046625C">
      <w:pPr>
        <w:pStyle w:val="ListBullet2"/>
      </w:pPr>
      <w:r w:rsidRPr="0046625C">
        <w:t>keeping records o</w:t>
      </w:r>
      <w:r w:rsidRPr="0046625C">
        <w:t>f plant and equipment</w:t>
      </w:r>
    </w:p>
    <w:p w:rsidR="00000000" w:rsidRPr="0046625C" w:rsidP="0046625C">
      <w:pPr>
        <w:pStyle w:val="ListBullet2"/>
      </w:pPr>
      <w:r w:rsidRPr="0046625C">
        <w:t>complying with environmental requirements</w:t>
      </w:r>
    </w:p>
    <w:p w:rsidR="00000000" w:rsidRPr="0046625C" w:rsidP="0046625C">
      <w:pPr>
        <w:pStyle w:val="ListBullet2"/>
      </w:pPr>
      <w:r w:rsidRPr="0046625C">
        <w:t>analysing tasks</w:t>
      </w:r>
    </w:p>
    <w:p w:rsidR="00000000" w:rsidRPr="0046625C" w:rsidP="0046625C">
      <w:pPr>
        <w:pStyle w:val="ListBullet2"/>
      </w:pPr>
      <w:r w:rsidRPr="0046625C">
        <w:t xml:space="preserve">providing information, instruction, training and supervision </w:t>
      </w:r>
    </w:p>
    <w:p w:rsidR="00000000" w:rsidRPr="0046625C" w:rsidP="0046625C">
      <w:pPr>
        <w:pStyle w:val="ListBullet2"/>
      </w:pPr>
      <w:r w:rsidRPr="0046625C">
        <w:t>proposing practical recommendations for identified key issues</w:t>
      </w:r>
    </w:p>
    <w:p w:rsidR="00000000" w:rsidRPr="0046625C" w:rsidP="0046625C">
      <w:pPr>
        <w:pStyle w:val="ListBullet"/>
      </w:pPr>
      <w:r w:rsidRPr="0046625C">
        <w:t>works effectively with others to undertake and comp</w:t>
      </w:r>
      <w:r w:rsidRPr="0046625C">
        <w:t>lete the commissioning or recommissioning of plant that meets all the required outcomes including:</w:t>
      </w:r>
    </w:p>
    <w:p w:rsidR="00000000" w:rsidRPr="0046625C" w:rsidP="0046625C">
      <w:pPr>
        <w:pStyle w:val="ListBullet2"/>
      </w:pPr>
      <w:r w:rsidRPr="0046625C">
        <w:t>complying with written and verbal reporting requirements and procedures</w:t>
      </w:r>
    </w:p>
    <w:p w:rsidR="00000000" w:rsidRPr="0046625C" w:rsidP="0046625C">
      <w:pPr>
        <w:pStyle w:val="ListBullet2"/>
      </w:pPr>
      <w:r w:rsidRPr="0046625C">
        <w:t>communicating clearly and concisely with others to receive and clarify work instruct</w:t>
      </w:r>
      <w:r w:rsidRPr="0046625C">
        <w:t>ions</w:t>
      </w:r>
    </w:p>
    <w:p w:rsidR="00000000" w:rsidRPr="0046625C" w:rsidP="0046625C">
      <w:pPr>
        <w:pStyle w:val="ListBullet2"/>
      </w:pPr>
      <w:r w:rsidRPr="0046625C">
        <w:t>communicating clearly and concisely with others to coordinate work activities</w:t>
      </w:r>
    </w:p>
    <w:p w:rsidR="00000000" w:rsidRPr="0046625C" w:rsidP="0046625C">
      <w:pPr>
        <w:pStyle w:val="ListBullet2"/>
      </w:pPr>
      <w:r w:rsidRPr="0046625C">
        <w:t>identifying and clearly communicating key issues</w:t>
      </w:r>
    </w:p>
    <w:p w:rsidR="00000000" w:rsidRPr="0046625C" w:rsidP="0046625C">
      <w:pPr>
        <w:pStyle w:val="ListBullet"/>
      </w:pPr>
      <w:r w:rsidRPr="0046625C">
        <w:t xml:space="preserve">demonstrates completion of the commissioning or recommissioning of plan that safely, effectively and efficiently meets all </w:t>
      </w:r>
      <w:r w:rsidRPr="0046625C">
        <w:t>of the required outcomes on more than one (1) occasion including:</w:t>
      </w:r>
    </w:p>
    <w:p w:rsidR="00000000" w:rsidRPr="0046625C" w:rsidP="0046625C">
      <w:pPr>
        <w:pStyle w:val="ListBullet2"/>
      </w:pPr>
      <w:r w:rsidRPr="0046625C">
        <w:t>contributing to the design of plant and/or equipment</w:t>
      </w:r>
    </w:p>
    <w:p w:rsidR="00000000" w:rsidRPr="0046625C" w:rsidP="0046625C">
      <w:pPr>
        <w:pStyle w:val="ListBullet2"/>
      </w:pPr>
      <w:r w:rsidRPr="0046625C">
        <w:t>participating in hazard and operability studies</w:t>
      </w:r>
    </w:p>
    <w:p w:rsidR="00000000" w:rsidRPr="0046625C" w:rsidP="0046625C">
      <w:pPr>
        <w:pStyle w:val="ListBullet2"/>
      </w:pPr>
      <w:r w:rsidRPr="0046625C">
        <w:t>conducting test runs and trials</w:t>
      </w:r>
    </w:p>
    <w:p w:rsidR="00000000" w:rsidRPr="0046625C" w:rsidP="0046625C">
      <w:pPr>
        <w:pStyle w:val="ListBullet2"/>
      </w:pPr>
      <w:r w:rsidRPr="0046625C">
        <w:t>evaluating test results and identifying modifications</w:t>
      </w:r>
    </w:p>
    <w:p w:rsidR="00000000" w:rsidRPr="0046625C" w:rsidP="0046625C">
      <w:pPr>
        <w:pStyle w:val="ListBullet2"/>
      </w:pPr>
      <w:r w:rsidRPr="0046625C">
        <w:t>documenting and reporting on findings</w:t>
      </w:r>
    </w:p>
    <w:p w:rsidR="00000000" w:rsidRPr="0046625C" w:rsidP="0046625C">
      <w:pPr>
        <w:pStyle w:val="ListBullet2"/>
      </w:pPr>
      <w:r w:rsidRPr="0046625C">
        <w:t>communicating findings</w:t>
      </w:r>
    </w:p>
    <w:p w:rsidR="00000000" w:rsidRPr="0046625C" w:rsidP="0046625C">
      <w:pPr>
        <w:pStyle w:val="AllowPageBreak"/>
      </w:pPr>
    </w:p>
    <w:p w:rsidR="00000000" w:rsidRPr="0046625C" w:rsidP="0046625C">
      <w:pPr>
        <w:pStyle w:val="Heading1"/>
      </w:pPr>
      <w:bookmarkStart w:id="3" w:name="O_683503"/>
      <w:bookmarkEnd w:id="3"/>
      <w:r w:rsidRPr="0046625C">
        <w:t>Knowledge Evidence</w:t>
      </w:r>
    </w:p>
    <w:p w:rsidR="00000000" w:rsidRPr="0046625C" w:rsidP="00FC5315">
      <w:pPr>
        <w:pStyle w:val="BodyText"/>
      </w:pPr>
      <w:r w:rsidRPr="0046625C">
        <w:t>The candidate must demonstrate knowledge in commissioning/recommissioning plants through:</w:t>
      </w:r>
    </w:p>
    <w:p w:rsidR="00000000" w:rsidRPr="0046625C" w:rsidP="0046625C">
      <w:pPr>
        <w:pStyle w:val="ListBullet"/>
      </w:pPr>
      <w:r w:rsidRPr="0046625C">
        <w:t>accessing, interpreting and applying legislative, organisation and s</w:t>
      </w:r>
      <w:r w:rsidRPr="0046625C">
        <w:t>ite requirements and procedures for:</w:t>
      </w:r>
    </w:p>
    <w:p w:rsidR="00000000" w:rsidRPr="0046625C" w:rsidP="0046625C">
      <w:pPr>
        <w:pStyle w:val="ListBullet2"/>
      </w:pPr>
      <w:r w:rsidRPr="0046625C">
        <w:t>hazard and risk identification and management</w:t>
      </w:r>
    </w:p>
    <w:p w:rsidR="00000000" w:rsidRPr="0046625C" w:rsidP="0046625C">
      <w:pPr>
        <w:pStyle w:val="ListBullet2"/>
      </w:pPr>
      <w:r w:rsidRPr="0046625C">
        <w:t xml:space="preserve">statutory compliance </w:t>
      </w:r>
    </w:p>
    <w:p w:rsidR="00000000" w:rsidRPr="0046625C" w:rsidP="0046625C">
      <w:pPr>
        <w:pStyle w:val="ListBullet2"/>
      </w:pPr>
      <w:r w:rsidRPr="0046625C">
        <w:t xml:space="preserve">work health and safety </w:t>
      </w:r>
    </w:p>
    <w:p w:rsidR="00000000" w:rsidRPr="0046625C" w:rsidP="0046625C">
      <w:pPr>
        <w:pStyle w:val="ListBullet2"/>
      </w:pPr>
      <w:r w:rsidRPr="0046625C">
        <w:t xml:space="preserve">environmental issues </w:t>
      </w:r>
    </w:p>
    <w:p w:rsidR="00000000" w:rsidRPr="0046625C" w:rsidP="0046625C">
      <w:pPr>
        <w:pStyle w:val="ListBullet2"/>
      </w:pPr>
      <w:r w:rsidRPr="0046625C">
        <w:t>policy management</w:t>
      </w:r>
    </w:p>
    <w:p w:rsidR="00000000" w:rsidRPr="0046625C" w:rsidP="0046625C">
      <w:pPr>
        <w:pStyle w:val="ListBullet2"/>
      </w:pPr>
      <w:r w:rsidRPr="0046625C">
        <w:t>equipment maintenance</w:t>
      </w:r>
    </w:p>
    <w:p w:rsidR="00000000" w:rsidRPr="0046625C" w:rsidP="0046625C">
      <w:pPr>
        <w:pStyle w:val="ListBullet"/>
      </w:pPr>
      <w:r w:rsidRPr="0046625C">
        <w:t xml:space="preserve">problem solving techniques </w:t>
      </w:r>
    </w:p>
    <w:p w:rsidR="00000000" w:rsidRPr="0046625C" w:rsidP="0046625C">
      <w:pPr>
        <w:pStyle w:val="ListBullet"/>
      </w:pPr>
      <w:r w:rsidRPr="0046625C">
        <w:t xml:space="preserve">report writing techniques </w:t>
      </w:r>
    </w:p>
    <w:p w:rsidR="00000000" w:rsidRPr="0046625C" w:rsidP="0046625C">
      <w:pPr>
        <w:pStyle w:val="ListBullet"/>
      </w:pPr>
      <w:r w:rsidRPr="0046625C">
        <w:t>diagnostic/fault finding techniques</w:t>
      </w:r>
    </w:p>
    <w:p w:rsidR="00000000" w:rsidRPr="0046625C" w:rsidP="0046625C">
      <w:pPr>
        <w:pStyle w:val="AllowPageBreak"/>
      </w:pPr>
    </w:p>
    <w:p w:rsidR="00000000" w:rsidRPr="0046625C" w:rsidP="0046625C">
      <w:pPr>
        <w:pStyle w:val="Heading1"/>
      </w:pPr>
      <w:bookmarkStart w:id="4" w:name="O_683502"/>
      <w:bookmarkEnd w:id="4"/>
      <w:r w:rsidRPr="0046625C">
        <w:t>Assessment Conditions</w:t>
      </w:r>
    </w:p>
    <w:p w:rsidR="00000000" w:rsidRPr="0046625C" w:rsidP="0046625C">
      <w:pPr>
        <w:pStyle w:val="ListBullet"/>
      </w:pPr>
      <w:r w:rsidRPr="0046625C">
        <w:t xml:space="preserve">An assessor of this unit must satisfy the requirements of the NVR/AQTF or their successors; and Industry regulations for certification and licensing; and, </w:t>
      </w:r>
    </w:p>
    <w:p w:rsidR="00000000" w:rsidRPr="0046625C" w:rsidP="0046625C">
      <w:pPr>
        <w:pStyle w:val="ListBullet"/>
      </w:pPr>
      <w:r w:rsidRPr="0046625C">
        <w:t>this unit is best assess</w:t>
      </w:r>
      <w:r w:rsidRPr="0046625C">
        <w:t>ed in the context of this sector’s work environment;</w:t>
      </w:r>
    </w:p>
    <w:p w:rsidR="00000000" w:rsidRPr="0046625C" w:rsidP="0046625C">
      <w:pPr>
        <w:pStyle w:val="ListBullet"/>
      </w:pPr>
      <w:r w:rsidRPr="0046625C">
        <w:t>where personal safety or environmental damage are limiting factors, assessment may occur in a simulated environment provided it is realistic and sufficiently rigorous to cover all aspects of this sector’</w:t>
      </w:r>
      <w:r w:rsidRPr="0046625C">
        <w:t>s workplace performance, including environment, task skills, task management skills, contingency management skills and job role environment skills; and,</w:t>
      </w:r>
    </w:p>
    <w:p w:rsidR="00000000" w:rsidRPr="0046625C" w:rsidP="0046625C">
      <w:pPr>
        <w:pStyle w:val="ListBullet"/>
      </w:pPr>
      <w:r w:rsidRPr="0046625C">
        <w:t>this unit must be assessed in compliance with relevant legislation/regulation and using policies, proce</w:t>
      </w:r>
      <w:r w:rsidRPr="0046625C">
        <w:t>dures, processes and operational manuals directly related to the industry sector for which it is being assessed; and,</w:t>
      </w:r>
    </w:p>
    <w:p w:rsidR="00000000" w:rsidRPr="0046625C" w:rsidP="0046625C">
      <w:pPr>
        <w:pStyle w:val="ListBullet"/>
      </w:pPr>
      <w:r w:rsidRPr="0046625C">
        <w:t>assessment may be conducted in conjunction with the assessment of other Units of Competency; and,</w:t>
      </w:r>
    </w:p>
    <w:p w:rsidR="00000000" w:rsidRPr="0046625C" w:rsidP="0046625C">
      <w:pPr>
        <w:pStyle w:val="ListBullet"/>
      </w:pPr>
      <w:r w:rsidRPr="0046625C">
        <w:t>assessment must confirm consistent perfo</w:t>
      </w:r>
      <w:r w:rsidRPr="0046625C">
        <w:t>rmance can be applied in a range of relevant workplace circumstances; and,</w:t>
      </w:r>
    </w:p>
    <w:p w:rsidR="00000000" w:rsidRPr="0046625C" w:rsidP="0046625C">
      <w:pPr>
        <w:pStyle w:val="ListBullet"/>
      </w:pPr>
      <w:r w:rsidRPr="0046625C">
        <w:t>assessors must demonstrate the performance evidence, and knowledge evidence as outlined in this Unit of Competency, and through the minimum years of current* work experience specifi</w:t>
      </w:r>
      <w:r w:rsidRPr="0046625C">
        <w:t>ed below in an Industry sector relevant to the outcomes of the unit; or,</w:t>
      </w:r>
    </w:p>
    <w:p w:rsidR="00000000" w:rsidRPr="0046625C" w:rsidP="0046625C">
      <w:pPr>
        <w:pStyle w:val="ListBullet"/>
      </w:pPr>
      <w:r w:rsidRPr="0046625C">
        <w:t>where the assessor does not meet experience requirements a co-assessment or partnership arrangement must exist between the qualified assessor and an Industry subject matter expert. Th</w:t>
      </w:r>
      <w:r w:rsidRPr="0046625C">
        <w:t xml:space="preserve">e Industry subject matter expert should hold the unit being assessed (or an equivalent unit) and/or demonstrate equivalence of skills and knowledge at the unit level. An Industry technical expert must also demonstrate skills and knowledge from the minimum </w:t>
      </w:r>
      <w:r w:rsidRPr="0046625C">
        <w:t>years of current work experience specified below in the Industry sector, including time spent in roles related to the unit being assessed; and,</w:t>
      </w:r>
    </w:p>
    <w:p w:rsidR="00000000" w:rsidRPr="0046625C" w:rsidP="0046625C">
      <w:pPr>
        <w:pStyle w:val="ListBullet"/>
      </w:pPr>
      <w:r w:rsidRPr="0046625C">
        <w:t>assessor and Industry subject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662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SubHeading1"/>
              <w:rPr>
                <w:lang w:val="en-NZ"/>
              </w:rPr>
            </w:pPr>
            <w:r w:rsidRPr="0046625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SubHeading1"/>
              <w:rPr>
                <w:lang w:val="en-NZ"/>
              </w:rPr>
            </w:pPr>
            <w:r w:rsidRPr="0046625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SubHeading1"/>
              <w:rPr>
                <w:lang w:val="en-NZ"/>
              </w:rPr>
            </w:pPr>
            <w:r w:rsidRPr="0046625C">
              <w:t>Required assessor or Industr</w:t>
            </w:r>
            <w:r w:rsidRPr="0046625C">
              <w:t>y subject matter expert experience</w:t>
            </w:r>
          </w:p>
        </w:tc>
      </w:tr>
      <w:tr w:rsidTr="004662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1 Year</w:t>
            </w:r>
          </w:p>
        </w:tc>
      </w:tr>
      <w:tr w:rsidTr="004662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2 Years</w:t>
            </w:r>
          </w:p>
        </w:tc>
      </w:tr>
      <w:tr w:rsidTr="004662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3 Years</w:t>
            </w:r>
          </w:p>
        </w:tc>
      </w:tr>
      <w:tr w:rsidTr="004662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5 Years</w:t>
            </w:r>
          </w:p>
        </w:tc>
      </w:tr>
      <w:tr w:rsidTr="004662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625C">
            <w:pPr>
              <w:pStyle w:val="BodyText"/>
              <w:rPr>
                <w:lang w:val="en-NZ"/>
              </w:rPr>
            </w:pPr>
            <w:r w:rsidRPr="0046625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625C" w:rsidP="0046625C">
            <w:pPr>
              <w:pStyle w:val="BodyText"/>
            </w:pPr>
            <w:r w:rsidRPr="0046625C">
              <w:t xml:space="preserve">Where this Unit is being assessed outside of the Resources and Infrastructure Sectors assessor and/or Industry subject matter expert experience </w:t>
            </w:r>
            <w:r w:rsidRPr="0046625C">
              <w:t>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46625C" w:rsidP="00FC5315">
      <w:pPr>
        <w:pStyle w:val="BodyText"/>
      </w:pPr>
      <w:r w:rsidRPr="0046625C">
        <w:t>*Assessors can demonstrate current work experience through employment within In</w:t>
      </w:r>
      <w:r w:rsidRPr="0046625C">
        <w:t>dustry in a role relevant to the outcomes of the Unit; or, for external assessors this can be demonstrated through exposure to Industry by conducting frequent site assessments across various locations.</w:t>
      </w:r>
    </w:p>
    <w:p w:rsidR="00000000" w:rsidRPr="0046625C" w:rsidP="00FC5315">
      <w:pPr>
        <w:pStyle w:val="BodyText"/>
      </w:pPr>
      <w:r w:rsidRPr="0046625C">
        <w:t>**Where a unit is being delivered outside of a Qualifi</w:t>
      </w:r>
      <w:r w:rsidRPr="0046625C">
        <w:t>cation the first numeric character in the Unit code should be considered to indicate the AQF level</w:t>
      </w:r>
    </w:p>
    <w:p w:rsidR="00000000" w:rsidRPr="0046625C" w:rsidP="0046625C">
      <w:pPr>
        <w:pStyle w:val="Heading1"/>
      </w:pPr>
      <w:bookmarkStart w:id="5" w:name="O_683515"/>
      <w:bookmarkEnd w:id="5"/>
      <w:r w:rsidRPr="0046625C">
        <w:t>Links</w:t>
      </w:r>
    </w:p>
    <w:p w:rsidR="00000000" w:rsidRPr="0046625C" w:rsidP="00FC5315">
      <w:pPr>
        <w:pStyle w:val="BodyText"/>
      </w:pPr>
      <w:r w:rsidRPr="004662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A71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6625C" w:rsidP="0046625C"/>
    <w:sectPr w:rsidSect="004662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5C" w:rsidRPr="00FC5315" w:rsidP="00FC5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15" w:rsidP="00466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315" w:rsidP="00466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315" w:rsidP="00466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25C" w:rsidRPr="00FC5315" w:rsidP="00FC5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315" w:rsidRPr="002D2AF8" w:rsidP="00466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RIISAM403D Commission/recommission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C5315" w:rsidP="00466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44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CC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A4A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25C"/>
  </w:style>
  <w:style w:type="character" w:customStyle="1" w:styleId="Heading1Char">
    <w:name w:val="Heading 1 Char"/>
    <w:basedOn w:val="DefaultParagraphFont"/>
    <w:link w:val="Heading1"/>
    <w:rsid w:val="00466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25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66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2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2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62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6625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66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2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2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25C"/>
    <w:rPr>
      <w:b/>
      <w:spacing w:val="0"/>
    </w:rPr>
  </w:style>
  <w:style w:type="paragraph" w:customStyle="1" w:styleId="SuperTitle">
    <w:name w:val="SuperTitle"/>
    <w:basedOn w:val="Title"/>
    <w:rsid w:val="00466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25C"/>
    <w:rPr>
      <w:i/>
    </w:rPr>
  </w:style>
  <w:style w:type="paragraph" w:styleId="Caption">
    <w:name w:val="caption"/>
    <w:basedOn w:val="BodyText"/>
    <w:next w:val="Normal"/>
    <w:qFormat/>
    <w:rsid w:val="00466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25C"/>
  </w:style>
  <w:style w:type="paragraph" w:styleId="TableofFigures">
    <w:name w:val="table of figures"/>
    <w:basedOn w:val="Normal"/>
    <w:next w:val="Normal"/>
    <w:semiHidden/>
    <w:rsid w:val="00466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2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25C"/>
    <w:rPr>
      <w:rFonts w:ascii="Wingdings" w:hAnsi="Wingdings"/>
    </w:rPr>
  </w:style>
  <w:style w:type="paragraph" w:customStyle="1" w:styleId="TableHeading">
    <w:name w:val="Table Heading"/>
    <w:basedOn w:val="HeadingBase"/>
    <w:rsid w:val="00466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25C"/>
    <w:rPr>
      <w:color w:val="0033CC"/>
      <w:u w:val="none"/>
    </w:rPr>
  </w:style>
  <w:style w:type="paragraph" w:customStyle="1" w:styleId="BodyTextRight">
    <w:name w:val="Body Text Right"/>
    <w:basedOn w:val="BodyText"/>
    <w:rsid w:val="00466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2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25C"/>
    <w:rPr>
      <w:sz w:val="32"/>
    </w:rPr>
  </w:style>
  <w:style w:type="paragraph" w:customStyle="1" w:styleId="HeadingProcedure">
    <w:name w:val="Heading Procedure"/>
    <w:basedOn w:val="HeadingBase"/>
    <w:next w:val="Normal"/>
    <w:rsid w:val="00466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25C"/>
    <w:pPr>
      <w:spacing w:before="60" w:after="60"/>
    </w:pPr>
  </w:style>
  <w:style w:type="paragraph" w:styleId="ListContinue">
    <w:name w:val="List Continue"/>
    <w:basedOn w:val="List"/>
    <w:rsid w:val="0046625C"/>
    <w:pPr>
      <w:ind w:firstLine="0"/>
    </w:pPr>
  </w:style>
  <w:style w:type="paragraph" w:customStyle="1" w:styleId="ListNote">
    <w:name w:val="List Note"/>
    <w:basedOn w:val="List"/>
    <w:rsid w:val="00466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25C"/>
    <w:rPr>
      <w:rFonts w:ascii="Courier New" w:hAnsi="Courier New"/>
    </w:rPr>
  </w:style>
  <w:style w:type="paragraph" w:customStyle="1" w:styleId="NoteBullet">
    <w:name w:val="Note Bullet"/>
    <w:basedOn w:val="Note"/>
    <w:rsid w:val="00466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25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66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2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25C"/>
    <w:rPr>
      <w:b/>
      <w:smallCaps/>
    </w:rPr>
  </w:style>
  <w:style w:type="paragraph" w:customStyle="1" w:styleId="TableListNumber">
    <w:name w:val="Table List Number"/>
    <w:basedOn w:val="ListNumber"/>
    <w:rsid w:val="00466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25C"/>
    <w:pPr>
      <w:numPr>
        <w:numId w:val="9"/>
      </w:numPr>
    </w:pPr>
  </w:style>
  <w:style w:type="paragraph" w:customStyle="1" w:styleId="ListAlpha2">
    <w:name w:val="List Alpha 2"/>
    <w:basedOn w:val="List2"/>
    <w:rsid w:val="0046625C"/>
    <w:pPr>
      <w:numPr>
        <w:numId w:val="8"/>
      </w:numPr>
    </w:pPr>
  </w:style>
  <w:style w:type="paragraph" w:styleId="List2">
    <w:name w:val="List 2"/>
    <w:basedOn w:val="BodyText"/>
    <w:rsid w:val="00466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2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2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25C"/>
    <w:pPr>
      <w:numPr>
        <w:numId w:val="4"/>
      </w:numPr>
    </w:pPr>
  </w:style>
  <w:style w:type="paragraph" w:styleId="ListContinue2">
    <w:name w:val="List Continue 2"/>
    <w:basedOn w:val="List2"/>
    <w:rsid w:val="0046625C"/>
    <w:pPr>
      <w:ind w:firstLine="0"/>
    </w:pPr>
  </w:style>
  <w:style w:type="paragraph" w:styleId="ListContinue3">
    <w:name w:val="List Continue 3"/>
    <w:basedOn w:val="List3"/>
    <w:rsid w:val="0046625C"/>
    <w:pPr>
      <w:ind w:left="1021" w:firstLine="0"/>
    </w:pPr>
  </w:style>
  <w:style w:type="paragraph" w:styleId="ListContinue4">
    <w:name w:val="List Continue 4"/>
    <w:basedOn w:val="List4"/>
    <w:rsid w:val="0046625C"/>
    <w:pPr>
      <w:ind w:firstLine="0"/>
    </w:pPr>
  </w:style>
  <w:style w:type="paragraph" w:styleId="ListContinue5">
    <w:name w:val="List Continue 5"/>
    <w:basedOn w:val="List5"/>
    <w:rsid w:val="0046625C"/>
    <w:pPr>
      <w:ind w:firstLine="0"/>
    </w:pPr>
  </w:style>
  <w:style w:type="paragraph" w:styleId="ListNumber3">
    <w:name w:val="List Number 3"/>
    <w:basedOn w:val="List3"/>
    <w:rsid w:val="0046625C"/>
    <w:pPr>
      <w:numPr>
        <w:numId w:val="5"/>
      </w:numPr>
    </w:pPr>
  </w:style>
  <w:style w:type="paragraph" w:styleId="ListNumber4">
    <w:name w:val="List Number 4"/>
    <w:basedOn w:val="List4"/>
    <w:rsid w:val="0046625C"/>
    <w:pPr>
      <w:numPr>
        <w:numId w:val="6"/>
      </w:numPr>
    </w:pPr>
  </w:style>
  <w:style w:type="paragraph" w:styleId="ListNumber5">
    <w:name w:val="List Number 5"/>
    <w:basedOn w:val="List5"/>
    <w:rsid w:val="0046625C"/>
    <w:pPr>
      <w:numPr>
        <w:numId w:val="7"/>
      </w:numPr>
    </w:pPr>
  </w:style>
  <w:style w:type="paragraph" w:styleId="BlockText">
    <w:name w:val="Block Text"/>
    <w:basedOn w:val="Normal"/>
    <w:rsid w:val="00466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25C"/>
    <w:rPr>
      <w:sz w:val="16"/>
      <w:vertAlign w:val="superscript"/>
    </w:rPr>
  </w:style>
  <w:style w:type="character" w:customStyle="1" w:styleId="Symbols">
    <w:name w:val="Symbols"/>
    <w:basedOn w:val="DefaultParagraphFont"/>
    <w:rsid w:val="0046625C"/>
    <w:rPr>
      <w:rFonts w:ascii="Symbol" w:hAnsi="Symbol"/>
    </w:rPr>
  </w:style>
  <w:style w:type="character" w:customStyle="1" w:styleId="MenuOptions">
    <w:name w:val="Menu Options"/>
    <w:basedOn w:val="DefaultParagraphFont"/>
    <w:rsid w:val="00466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25C"/>
    <w:rPr>
      <w:b/>
    </w:rPr>
  </w:style>
  <w:style w:type="character" w:customStyle="1" w:styleId="Underlined">
    <w:name w:val="Underlined"/>
    <w:basedOn w:val="DefaultParagraphFont"/>
    <w:rsid w:val="0046625C"/>
    <w:rPr>
      <w:u w:val="single"/>
    </w:rPr>
  </w:style>
  <w:style w:type="paragraph" w:customStyle="1" w:styleId="TableBodyTextRight">
    <w:name w:val="Table Body Text Right"/>
    <w:basedOn w:val="TableBodyText"/>
    <w:rsid w:val="00466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25C"/>
    <w:rPr>
      <w:sz w:val="18"/>
    </w:rPr>
  </w:style>
  <w:style w:type="paragraph" w:customStyle="1" w:styleId="BodySmallRight">
    <w:name w:val="Body Small Right"/>
    <w:basedOn w:val="BodyTextRight"/>
    <w:rsid w:val="0046625C"/>
    <w:rPr>
      <w:sz w:val="18"/>
      <w:szCs w:val="18"/>
    </w:rPr>
  </w:style>
  <w:style w:type="paragraph" w:customStyle="1" w:styleId="MarginEdition">
    <w:name w:val="Margin Edition"/>
    <w:basedOn w:val="MarginNote"/>
    <w:rsid w:val="00466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25C"/>
    <w:rPr>
      <w:sz w:val="2"/>
      <w:szCs w:val="2"/>
    </w:rPr>
  </w:style>
  <w:style w:type="character" w:customStyle="1" w:styleId="Small">
    <w:name w:val="Small"/>
    <w:basedOn w:val="DefaultParagraphFont"/>
    <w:rsid w:val="0046625C"/>
    <w:rPr>
      <w:sz w:val="16"/>
    </w:rPr>
  </w:style>
  <w:style w:type="paragraph" w:customStyle="1" w:styleId="WideTable">
    <w:name w:val="Wide Table"/>
    <w:basedOn w:val="Normal"/>
    <w:rsid w:val="00466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25C"/>
  </w:style>
  <w:style w:type="paragraph" w:styleId="Quote">
    <w:name w:val="Quote"/>
    <w:basedOn w:val="Heading1"/>
    <w:link w:val="QuoteChar"/>
    <w:qFormat/>
    <w:rsid w:val="00466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25C"/>
    <w:pPr>
      <w:pageBreakBefore/>
    </w:pPr>
  </w:style>
  <w:style w:type="paragraph" w:customStyle="1" w:styleId="Border">
    <w:name w:val="Border"/>
    <w:basedOn w:val="Normal"/>
    <w:qFormat/>
    <w:rsid w:val="00466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25C"/>
    <w:rPr>
      <w:u w:val="single"/>
    </w:rPr>
  </w:style>
  <w:style w:type="character" w:customStyle="1" w:styleId="BoldandItalics">
    <w:name w:val="Bold and Italics"/>
    <w:qFormat/>
    <w:rsid w:val="0046625C"/>
    <w:rPr>
      <w:b/>
      <w:i/>
      <w:u w:val="none"/>
    </w:rPr>
  </w:style>
  <w:style w:type="paragraph" w:styleId="BalloonText">
    <w:name w:val="Balloon Text"/>
    <w:basedOn w:val="Normal"/>
    <w:link w:val="BalloonTextChar"/>
    <w:rsid w:val="00466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25C"/>
    <w:pPr>
      <w:spacing w:before="0" w:after="0"/>
    </w:pPr>
  </w:style>
  <w:style w:type="paragraph" w:customStyle="1" w:styleId="BodyTextBold">
    <w:name w:val="Body Text Bold"/>
    <w:basedOn w:val="BodyText"/>
    <w:qFormat/>
    <w:rsid w:val="0046625C"/>
    <w:rPr>
      <w:b/>
    </w:rPr>
  </w:style>
  <w:style w:type="character" w:styleId="Hyperlink">
    <w:name w:val="Hyperlink"/>
    <w:basedOn w:val="DefaultParagraphFont"/>
    <w:uiPriority w:val="99"/>
    <w:unhideWhenUsed/>
    <w:rsid w:val="00FC5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5398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RIISAM403D Commission/recommission plant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2020-07-08T06:45:00Z</dcterms:created>
  <dcterms:modified xsi:type="dcterms:W3CDTF">2020-07-08T06:45:00Z</dcterms:modified>
</cp:coreProperties>
</file>