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3AC" w:rsidP="00FC5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RIISAM215D Carry out drilling industry operational maintenance</w:t>
      </w:r>
      <w:r>
        <w:fldChar w:fldCharType="end"/>
      </w:r>
    </w:p>
    <w:p w:rsidR="00FC53AC" w:rsidP="00FC53AC">
      <w:pPr>
        <w:pStyle w:val="Version"/>
        <w:sectPr w:rsidSect="00F92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23CC" w:rsidP="00F923CC">
      <w:pPr>
        <w:pStyle w:val="SuperHeading"/>
      </w:pPr>
      <w:r w:rsidRPr="00F923CC">
        <w:t>Assessment Requirements for RIISAM215D Carry out drilling industry operational maintenance</w:t>
      </w:r>
    </w:p>
    <w:p w:rsidR="00000000" w:rsidRPr="00F923CC" w:rsidP="00F923CC">
      <w:pPr>
        <w:pStyle w:val="Heading1"/>
      </w:pPr>
      <w:bookmarkStart w:id="1" w:name="O_682988"/>
      <w:bookmarkEnd w:id="1"/>
      <w:r w:rsidRPr="00F923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C53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CC">
            <w:pPr>
              <w:pStyle w:val="Heading4"/>
              <w:rPr>
                <w:lang w:val="en-NZ"/>
              </w:rPr>
            </w:pPr>
            <w:r w:rsidRPr="00F923C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CC">
            <w:pPr>
              <w:pStyle w:val="Heading4"/>
              <w:rPr>
                <w:lang w:val="en-NZ"/>
              </w:rPr>
            </w:pPr>
            <w:r w:rsidRPr="00F923CC">
              <w:t>Comment</w:t>
            </w:r>
          </w:p>
        </w:tc>
      </w:tr>
      <w:tr w:rsidTr="00FC53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This unit replaces RIISAM215A Carry out drilling Industry operational maintenance</w:t>
            </w:r>
          </w:p>
        </w:tc>
      </w:tr>
      <w:tr w:rsidTr="00FC53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3CC" w:rsidP="00F923CC">
            <w:pPr>
              <w:pStyle w:val="BodyText"/>
            </w:pPr>
            <w:r w:rsidRPr="00F923CC">
              <w:t>Required frequency and volume of evidence amended in Performance evidence.</w:t>
            </w:r>
          </w:p>
          <w:p w:rsidR="00000000" w:rsidRPr="00F923CC" w:rsidP="00F923CC">
            <w:pPr>
              <w:pStyle w:val="BodyText"/>
            </w:pPr>
            <w:r w:rsidRPr="00F923CC">
              <w:t>Substantial amendments made in Assessment Conditions field, including: references to Industry Sectors, assessor and subject matter expert experience requirements, how assessment sho</w:t>
            </w:r>
            <w:r w:rsidRPr="00F923CC">
              <w:t>uld be conducted and what it should confirm.</w:t>
            </w:r>
          </w:p>
        </w:tc>
      </w:tr>
    </w:tbl>
    <w:p w:rsidR="00000000" w:rsidRPr="00F923CC" w:rsidP="00F923CC">
      <w:pPr>
        <w:pStyle w:val="BodyText"/>
      </w:pPr>
    </w:p>
    <w:p w:rsidR="00000000" w:rsidRPr="00F923CC" w:rsidP="00F923CC">
      <w:pPr>
        <w:pStyle w:val="AllowPageBreak"/>
      </w:pPr>
    </w:p>
    <w:p w:rsidR="00000000" w:rsidRPr="00F923CC" w:rsidP="00F923CC">
      <w:pPr>
        <w:pStyle w:val="Heading1"/>
      </w:pPr>
      <w:bookmarkStart w:id="2" w:name="O_682987"/>
      <w:bookmarkEnd w:id="2"/>
      <w:r w:rsidRPr="00F923CC">
        <w:t>Performance Evidence</w:t>
      </w:r>
    </w:p>
    <w:p w:rsidR="00000000" w:rsidRPr="00F923CC" w:rsidP="00FC53AC">
      <w:pPr>
        <w:pStyle w:val="BodyText"/>
      </w:pPr>
      <w:r w:rsidRPr="00F923CC">
        <w:t>Evidence is required to be collected that demonstrates a candidate’s competency in this unit. Evidence must be relevant to the roles within this sector’</w:t>
      </w:r>
      <w:r w:rsidRPr="00F923CC">
        <w:t>s work operations and satisfy all of the requirements of the performance criteria of this unit and include evidence that the candidate:</w:t>
      </w:r>
    </w:p>
    <w:p w:rsidR="00000000" w:rsidRPr="00F923CC" w:rsidP="00F923CC">
      <w:pPr>
        <w:pStyle w:val="ListBullet"/>
      </w:pPr>
      <w:r w:rsidRPr="00F923CC">
        <w:t>locates and applies relevant documentation, policies and procedures</w:t>
      </w:r>
    </w:p>
    <w:p w:rsidR="00000000" w:rsidRPr="00F923CC" w:rsidP="00F923CC">
      <w:pPr>
        <w:pStyle w:val="ListBullet"/>
      </w:pPr>
      <w:r w:rsidRPr="00F923CC">
        <w:t>works effectively with others to carry out drilling</w:t>
      </w:r>
      <w:r w:rsidRPr="00F923CC">
        <w:t xml:space="preserve"> industry operational maintenance that meets all of the required outcomes including:</w:t>
      </w:r>
    </w:p>
    <w:p w:rsidR="00000000" w:rsidRPr="00F923CC" w:rsidP="00F923CC">
      <w:pPr>
        <w:pStyle w:val="ListBullet2"/>
      </w:pPr>
      <w:r w:rsidRPr="00F923CC">
        <w:t>organising work activities to meet all task requirements</w:t>
      </w:r>
    </w:p>
    <w:p w:rsidR="00000000" w:rsidRPr="00F923CC" w:rsidP="00F923CC">
      <w:pPr>
        <w:pStyle w:val="ListBullet2"/>
      </w:pPr>
      <w:r w:rsidRPr="00F923CC">
        <w:t>communicating clearly and concisely with others to receive and clarify work instructions</w:t>
      </w:r>
    </w:p>
    <w:p w:rsidR="00000000" w:rsidRPr="00F923CC" w:rsidP="00F923CC">
      <w:pPr>
        <w:pStyle w:val="ListBullet2"/>
      </w:pPr>
      <w:r w:rsidRPr="00F923CC">
        <w:t>communicating clearly an</w:t>
      </w:r>
      <w:r w:rsidRPr="00F923CC">
        <w:t>d concisely with others to resolve coordination requirements prior to commencing and during work activities</w:t>
      </w:r>
    </w:p>
    <w:p w:rsidR="00000000" w:rsidRPr="00F923CC" w:rsidP="00F923CC">
      <w:pPr>
        <w:pStyle w:val="ListBullet"/>
      </w:pPr>
      <w:r w:rsidRPr="00F923CC">
        <w:t>demonstrates completion of carrying out drilling industry operational maintenance that safely, effectively and efficiently meets all of the require</w:t>
      </w:r>
      <w:r w:rsidRPr="00F923CC">
        <w:t>d outcomes on more than one (1) occasion including:</w:t>
      </w:r>
    </w:p>
    <w:p w:rsidR="00000000" w:rsidRPr="00F923CC" w:rsidP="00F923CC">
      <w:pPr>
        <w:pStyle w:val="ListBullet2"/>
      </w:pPr>
      <w:r w:rsidRPr="00F923CC">
        <w:t xml:space="preserve">planning and preparing for operational maintenance tasks including: </w:t>
      </w:r>
    </w:p>
    <w:p w:rsidR="00000000" w:rsidRPr="00F923CC" w:rsidP="00F923CC">
      <w:pPr>
        <w:pStyle w:val="ListBullet3"/>
      </w:pPr>
      <w:r w:rsidRPr="00F923CC">
        <w:t>carrying out pre-drilling checks and maintenance</w:t>
      </w:r>
    </w:p>
    <w:p w:rsidR="00000000" w:rsidRPr="00F923CC" w:rsidP="00F923CC">
      <w:pPr>
        <w:pStyle w:val="ListBullet3"/>
      </w:pPr>
      <w:r w:rsidRPr="00F923CC">
        <w:t xml:space="preserve">performing machine checks </w:t>
      </w:r>
    </w:p>
    <w:p w:rsidR="00000000" w:rsidRPr="00F923CC" w:rsidP="00F923CC">
      <w:pPr>
        <w:pStyle w:val="ListBullet3"/>
      </w:pPr>
      <w:r w:rsidRPr="00F923CC">
        <w:t>maintaining and store tools and consumables</w:t>
      </w:r>
    </w:p>
    <w:p w:rsidR="00000000" w:rsidRPr="00F923CC" w:rsidP="00F923CC">
      <w:pPr>
        <w:pStyle w:val="ListBullet2"/>
      </w:pPr>
      <w:r w:rsidRPr="00F923CC">
        <w:t>completing maintenance including:</w:t>
      </w:r>
    </w:p>
    <w:p w:rsidR="00000000" w:rsidRPr="00F923CC" w:rsidP="00F923CC">
      <w:pPr>
        <w:pStyle w:val="ListBullet3"/>
      </w:pPr>
      <w:r w:rsidRPr="00F923CC">
        <w:t xml:space="preserve">equipment inspection, servicing and lubrication </w:t>
      </w:r>
    </w:p>
    <w:p w:rsidR="00000000" w:rsidRPr="00F923CC" w:rsidP="00F923CC">
      <w:pPr>
        <w:pStyle w:val="ListBullet3"/>
      </w:pPr>
      <w:r w:rsidRPr="00F923CC">
        <w:t>fault identification</w:t>
      </w:r>
    </w:p>
    <w:p w:rsidR="00000000" w:rsidRPr="00F923CC" w:rsidP="00F923CC">
      <w:pPr>
        <w:pStyle w:val="ListBullet2"/>
      </w:pPr>
      <w:r w:rsidRPr="00F923CC">
        <w:t xml:space="preserve">isolation/tag out/lock out </w:t>
      </w:r>
    </w:p>
    <w:p w:rsidR="00000000" w:rsidRPr="00F923CC" w:rsidP="00F923CC">
      <w:pPr>
        <w:pStyle w:val="ListBullet3"/>
      </w:pPr>
      <w:r w:rsidRPr="00F923CC">
        <w:t>machinery maintenance</w:t>
      </w:r>
    </w:p>
    <w:p w:rsidR="00000000" w:rsidRPr="00F923CC" w:rsidP="00F923CC">
      <w:pPr>
        <w:pStyle w:val="ListBullet2"/>
      </w:pPr>
      <w:r w:rsidRPr="00F923CC">
        <w:t>field repairs</w:t>
      </w:r>
    </w:p>
    <w:p w:rsidR="00000000" w:rsidRPr="00F923CC" w:rsidP="00F923CC">
      <w:pPr>
        <w:pStyle w:val="ListBullet3"/>
      </w:pPr>
      <w:r w:rsidRPr="00F923CC">
        <w:t>completing workplace and/or site documentation</w:t>
      </w:r>
    </w:p>
    <w:p w:rsidR="00000000" w:rsidRPr="00F923CC" w:rsidP="00F923CC">
      <w:pPr>
        <w:pStyle w:val="AllowPageBreak"/>
      </w:pPr>
    </w:p>
    <w:p w:rsidR="00000000" w:rsidRPr="00F923CC" w:rsidP="00F923CC">
      <w:pPr>
        <w:pStyle w:val="Heading1"/>
      </w:pPr>
      <w:bookmarkStart w:id="3" w:name="O_682986"/>
      <w:bookmarkEnd w:id="3"/>
      <w:r w:rsidRPr="00F923CC">
        <w:t>Knowledge Evidence</w:t>
      </w:r>
    </w:p>
    <w:p w:rsidR="00000000" w:rsidRPr="00F923CC" w:rsidP="00FC53AC">
      <w:pPr>
        <w:pStyle w:val="BodyText"/>
      </w:pPr>
      <w:r w:rsidRPr="00F923CC">
        <w:t>The candidate must demonstrate knowledge in carrying out drilling Industry operational maintenance through:</w:t>
      </w:r>
    </w:p>
    <w:p w:rsidR="00000000" w:rsidRPr="00F923CC" w:rsidP="00F923CC">
      <w:pPr>
        <w:pStyle w:val="ListBullet"/>
      </w:pPr>
      <w:r w:rsidRPr="00F923CC">
        <w:t>Accessing, interpreting and applying organisational and site requirements and procedures for:</w:t>
      </w:r>
    </w:p>
    <w:p w:rsidR="00000000" w:rsidRPr="00F923CC" w:rsidP="00F923CC">
      <w:pPr>
        <w:pStyle w:val="ListBullet2"/>
      </w:pPr>
      <w:r w:rsidRPr="00F923CC">
        <w:t>environmental protection</w:t>
      </w:r>
    </w:p>
    <w:p w:rsidR="00000000" w:rsidRPr="00F923CC" w:rsidP="00F923CC">
      <w:pPr>
        <w:pStyle w:val="ListBullet2"/>
      </w:pPr>
      <w:r w:rsidRPr="00F923CC">
        <w:t xml:space="preserve">isolation and tag out </w:t>
      </w:r>
    </w:p>
    <w:p w:rsidR="00000000" w:rsidRPr="00F923CC" w:rsidP="00F923CC">
      <w:pPr>
        <w:pStyle w:val="ListBullet2"/>
      </w:pPr>
      <w:r w:rsidRPr="00F923CC">
        <w:t>documentation and reporting</w:t>
      </w:r>
    </w:p>
    <w:p w:rsidR="00000000" w:rsidRPr="00F923CC" w:rsidP="00F923CC">
      <w:pPr>
        <w:pStyle w:val="ListBullet2"/>
      </w:pPr>
      <w:r w:rsidRPr="00F923CC">
        <w:t>work, health and safety</w:t>
      </w:r>
    </w:p>
    <w:p w:rsidR="00000000" w:rsidRPr="00F923CC" w:rsidP="00F923CC">
      <w:pPr>
        <w:pStyle w:val="ListBullet2"/>
      </w:pPr>
      <w:r w:rsidRPr="00F923CC">
        <w:t>hazard identification and risk control</w:t>
      </w:r>
    </w:p>
    <w:p w:rsidR="00000000" w:rsidRPr="00F923CC" w:rsidP="00F923CC">
      <w:pPr>
        <w:pStyle w:val="ListBullet2"/>
      </w:pPr>
      <w:r w:rsidRPr="00F923CC">
        <w:t>Job Safety Analysis (JSA)</w:t>
      </w:r>
    </w:p>
    <w:p w:rsidR="00000000" w:rsidRPr="00F923CC" w:rsidP="00F923CC">
      <w:pPr>
        <w:pStyle w:val="ListBullet2"/>
      </w:pPr>
      <w:r w:rsidRPr="00F923CC">
        <w:t>hazardous goods handling</w:t>
      </w:r>
    </w:p>
    <w:p w:rsidR="00000000" w:rsidRPr="00F923CC" w:rsidP="00F923CC">
      <w:pPr>
        <w:pStyle w:val="ListBullet2"/>
      </w:pPr>
      <w:r w:rsidRPr="00F923CC">
        <w:t>tag out/lock out</w:t>
      </w:r>
    </w:p>
    <w:p w:rsidR="00000000" w:rsidRPr="00F923CC" w:rsidP="00F923CC">
      <w:pPr>
        <w:pStyle w:val="ListBullet2"/>
      </w:pPr>
      <w:r w:rsidRPr="00F923CC">
        <w:t>selection and use of hand and power tools</w:t>
      </w:r>
    </w:p>
    <w:p w:rsidR="00000000" w:rsidRPr="00F923CC" w:rsidP="00F923CC">
      <w:pPr>
        <w:pStyle w:val="ListBullet2"/>
      </w:pPr>
      <w:r w:rsidRPr="00F923CC">
        <w:t>verbal and written communication</w:t>
      </w:r>
    </w:p>
    <w:p w:rsidR="00000000" w:rsidRPr="00F923CC" w:rsidP="00F923CC">
      <w:pPr>
        <w:pStyle w:val="ListBullet"/>
      </w:pPr>
      <w:r w:rsidRPr="00F923CC">
        <w:t>applying manufacturer</w:t>
      </w:r>
      <w:r w:rsidRPr="00F923CC">
        <w:t>’s maintenance requirements and procedures</w:t>
      </w:r>
    </w:p>
    <w:p w:rsidR="00000000" w:rsidRPr="00F923CC" w:rsidP="00F923CC">
      <w:pPr>
        <w:pStyle w:val="ListBullet"/>
      </w:pPr>
      <w:r w:rsidRPr="00F923CC">
        <w:t>identifying characteristics, technical capabilities and limitations of equipment</w:t>
      </w:r>
    </w:p>
    <w:p w:rsidR="00000000" w:rsidRPr="00F923CC" w:rsidP="00F923CC">
      <w:pPr>
        <w:pStyle w:val="ListBullet"/>
      </w:pPr>
      <w:r w:rsidRPr="00F923CC">
        <w:t>identifying mechanical/electrical/hydraulic systems and power tools characteristics</w:t>
      </w:r>
    </w:p>
    <w:p w:rsidR="00000000" w:rsidRPr="00F923CC" w:rsidP="00F923CC">
      <w:pPr>
        <w:pStyle w:val="ListBullet"/>
      </w:pPr>
      <w:r w:rsidRPr="00F923CC">
        <w:t>identifying lubricants and their uses</w:t>
      </w:r>
    </w:p>
    <w:p w:rsidR="00000000" w:rsidRPr="00F923CC" w:rsidP="00F923CC">
      <w:pPr>
        <w:pStyle w:val="ListBullet"/>
      </w:pPr>
      <w:r w:rsidRPr="00F923CC">
        <w:t>identifying and interpreting all engine, electric and hydraulic indicators and gauges</w:t>
      </w:r>
    </w:p>
    <w:p w:rsidR="00000000" w:rsidRPr="00F923CC" w:rsidP="00F923CC">
      <w:pPr>
        <w:pStyle w:val="ListBullet"/>
      </w:pPr>
      <w:r w:rsidRPr="00F923CC">
        <w:t>identifying transmission and drive systems</w:t>
      </w:r>
    </w:p>
    <w:p w:rsidR="00000000" w:rsidRPr="00F923CC" w:rsidP="00F923CC">
      <w:pPr>
        <w:pStyle w:val="AllowPageBreak"/>
      </w:pPr>
    </w:p>
    <w:p w:rsidR="00000000" w:rsidRPr="00F923CC" w:rsidP="00F923CC">
      <w:pPr>
        <w:pStyle w:val="Heading1"/>
      </w:pPr>
      <w:bookmarkStart w:id="4" w:name="O_682985"/>
      <w:bookmarkEnd w:id="4"/>
      <w:r w:rsidRPr="00F923CC">
        <w:t>Assessment Conditions</w:t>
      </w:r>
    </w:p>
    <w:p w:rsidR="00000000" w:rsidRPr="00F923CC" w:rsidP="00F923CC">
      <w:pPr>
        <w:pStyle w:val="ListBullet"/>
      </w:pPr>
      <w:r w:rsidRPr="00F923CC">
        <w:t>An assessor of this unit must satisfy the requirements of the NVR/AQTF or their success</w:t>
      </w:r>
      <w:r w:rsidRPr="00F923CC">
        <w:t xml:space="preserve">ors; and Industry regulations for certification and licensing; and, </w:t>
      </w:r>
    </w:p>
    <w:p w:rsidR="00000000" w:rsidRPr="00F923CC" w:rsidP="00F923CC">
      <w:pPr>
        <w:pStyle w:val="ListBullet"/>
      </w:pPr>
      <w:r w:rsidRPr="00F923CC">
        <w:t>this unit must be assessed in the context of this sector’s work environment; and,</w:t>
      </w:r>
    </w:p>
    <w:p w:rsidR="00000000" w:rsidRPr="00F923CC" w:rsidP="00F923CC">
      <w:pPr>
        <w:pStyle w:val="ListBullet"/>
      </w:pPr>
      <w:r w:rsidRPr="00F923CC">
        <w:t>this unit must be assessed in compliance with relevant legislation/regulation and using policies, procedu</w:t>
      </w:r>
      <w:r w:rsidRPr="00F923CC">
        <w:t>res, processes and operational manuals directly related to the industry sector for which it is being assessed; and,</w:t>
      </w:r>
    </w:p>
    <w:p w:rsidR="00000000" w:rsidRPr="00F923CC" w:rsidP="00F923CC">
      <w:pPr>
        <w:pStyle w:val="ListBullet"/>
      </w:pPr>
      <w:r w:rsidRPr="00F923CC">
        <w:t>assessment may be conducted in conjunction with the assessment of other Units of Competency; and,</w:t>
      </w:r>
    </w:p>
    <w:p w:rsidR="00000000" w:rsidRPr="00F923CC" w:rsidP="00F923CC">
      <w:pPr>
        <w:pStyle w:val="ListBullet"/>
      </w:pPr>
      <w:r w:rsidRPr="00F923CC">
        <w:t>assessment must confirm consistent perform</w:t>
      </w:r>
      <w:r w:rsidRPr="00F923CC">
        <w:t>ance can be applied in a range of relevant workplace circumstances; and,</w:t>
      </w:r>
    </w:p>
    <w:p w:rsidR="00000000" w:rsidRPr="00F923CC" w:rsidP="00F923CC">
      <w:pPr>
        <w:pStyle w:val="ListBullet"/>
      </w:pPr>
      <w:r w:rsidRPr="00F923CC">
        <w:t>assessors must demonstrate the performance evidence, and knowledge evidence as outlined in this Unit of Competency, and through the minimum years of current* work experience specified</w:t>
      </w:r>
      <w:r w:rsidRPr="00F923CC">
        <w:t xml:space="preserve"> below in an Industry sector relevant to the outcomes of the unit; or,</w:t>
      </w:r>
    </w:p>
    <w:p w:rsidR="00000000" w:rsidRPr="00F923CC" w:rsidP="00F923CC">
      <w:pPr>
        <w:pStyle w:val="ListBullet"/>
      </w:pPr>
      <w:r w:rsidRPr="00F923CC">
        <w:t xml:space="preserve">where the assessor does not meet experience requirements a co-assessment or partnership arrangement must exist between the qualified assessor and an Industry subject matter expert. The </w:t>
      </w:r>
      <w:r w:rsidRPr="00F923CC">
        <w:t>Industry subject matter expert should hold the unit being assessed (or an equivalent unit) and/or demonstrate equivalence of skills and knowledge at the unit level. An Industry technical expert must also demonstrate skills and knowledge from the minimum ye</w:t>
      </w:r>
      <w:r w:rsidRPr="00F923CC">
        <w:t>ars of current work experience specified below in the Industry sector, including time spent in roles related to the unit being assessed; and,</w:t>
      </w:r>
    </w:p>
    <w:p w:rsidR="00000000" w:rsidRPr="00F923CC" w:rsidP="00F923CC">
      <w:pPr>
        <w:pStyle w:val="ListBullet"/>
      </w:pPr>
      <w:r w:rsidRPr="00F923CC">
        <w:t>assessor and Industry subject matter expert requirements differ depending on the Australian Qualifications Framewo</w:t>
      </w:r>
      <w:r w:rsidRPr="00F923CC">
        <w:t>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923C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SubHeading1"/>
              <w:rPr>
                <w:lang w:val="en-NZ"/>
              </w:rPr>
            </w:pPr>
            <w:r w:rsidRPr="00F923C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SubHeading1"/>
              <w:rPr>
                <w:lang w:val="en-NZ"/>
              </w:rPr>
            </w:pPr>
            <w:r w:rsidRPr="00F923C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SubHeading1"/>
              <w:rPr>
                <w:lang w:val="en-NZ"/>
              </w:rPr>
            </w:pPr>
            <w:r w:rsidRPr="00F923CC">
              <w:t>Required assessor or Industry subject matter expert experience</w:t>
            </w:r>
          </w:p>
        </w:tc>
      </w:tr>
      <w:tr w:rsidTr="00F923C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1 Year</w:t>
            </w:r>
          </w:p>
        </w:tc>
      </w:tr>
      <w:tr w:rsidTr="00F923C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2 Years</w:t>
            </w:r>
          </w:p>
        </w:tc>
      </w:tr>
      <w:tr w:rsidTr="00F923C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3 Years</w:t>
            </w:r>
          </w:p>
        </w:tc>
      </w:tr>
      <w:tr w:rsidTr="00F923C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5 Years</w:t>
            </w:r>
          </w:p>
        </w:tc>
      </w:tr>
      <w:tr w:rsidTr="00F923C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23CC">
            <w:pPr>
              <w:pStyle w:val="BodyText"/>
              <w:rPr>
                <w:lang w:val="en-NZ"/>
              </w:rPr>
            </w:pPr>
            <w:r w:rsidRPr="00F923C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23CC" w:rsidP="00F923CC">
            <w:pPr>
              <w:pStyle w:val="BodyText"/>
            </w:pPr>
            <w:r w:rsidRPr="00F923C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923CC">
              <w:t>ndard is specified should comply with any relevant regulation.</w:t>
            </w:r>
          </w:p>
        </w:tc>
      </w:tr>
    </w:tbl>
    <w:p w:rsidR="00000000" w:rsidRPr="00F923CC" w:rsidP="00FC53AC">
      <w:pPr>
        <w:pStyle w:val="BodyText"/>
      </w:pPr>
      <w:r w:rsidRPr="00F923CC">
        <w:t>*Assessors can demonstrate current work experience through employment within Industry in a role relevant to the outcomes of the Unit; or, for external assessors this can be demonstrated throu</w:t>
      </w:r>
      <w:r w:rsidRPr="00F923CC">
        <w:t>gh exposure to Industry by conducting frequent site assessments across various locations.</w:t>
      </w:r>
    </w:p>
    <w:p w:rsidR="00FC53AC" w:rsidP="00FC53AC">
      <w:pPr>
        <w:pStyle w:val="BodyText"/>
      </w:pPr>
      <w:r w:rsidRPr="00F923CC">
        <w:t>**Where a unit is being delivered outside of a Qualification the first numeric character in the Unit code should be considered to indicate the AQF level</w:t>
      </w:r>
    </w:p>
    <w:p w:rsidR="00000000" w:rsidRPr="00F923CC" w:rsidP="00F923CC">
      <w:pPr>
        <w:pStyle w:val="Heading1"/>
      </w:pPr>
      <w:bookmarkStart w:id="5" w:name="O_682997"/>
      <w:bookmarkEnd w:id="5"/>
      <w:r w:rsidRPr="00F923CC">
        <w:t>Links</w:t>
      </w:r>
    </w:p>
    <w:p w:rsidR="00000000" w:rsidRPr="00F923CC" w:rsidP="00FC53AC">
      <w:pPr>
        <w:pStyle w:val="BodyText"/>
      </w:pPr>
      <w:r w:rsidRPr="00F923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723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23CC" w:rsidP="00F923CC"/>
    <w:sectPr w:rsidSect="00F923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C" w:rsidRPr="00FC53AC" w:rsidP="00FC5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AC" w:rsidP="00F92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3AC" w:rsidP="00F92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3AC" w:rsidP="00F92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3CC" w:rsidRPr="00FC53AC" w:rsidP="00FC5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AC" w:rsidRPr="002D2AF8" w:rsidP="00F92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RIISAM215D Carry out drilling industry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FC53AC" w:rsidP="00F92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DCD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227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ED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3CC"/>
  </w:style>
  <w:style w:type="character" w:customStyle="1" w:styleId="Heading1Char">
    <w:name w:val="Heading 1 Char"/>
    <w:basedOn w:val="DefaultParagraphFont"/>
    <w:link w:val="Heading1"/>
    <w:rsid w:val="00F92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3C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2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3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3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23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2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F923CC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F923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2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3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3CC"/>
    <w:rPr>
      <w:b/>
      <w:spacing w:val="0"/>
    </w:rPr>
  </w:style>
  <w:style w:type="paragraph" w:customStyle="1" w:styleId="SuperTitle">
    <w:name w:val="SuperTitle"/>
    <w:basedOn w:val="Title"/>
    <w:rsid w:val="00F92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3CC"/>
    <w:rPr>
      <w:i/>
    </w:rPr>
  </w:style>
  <w:style w:type="paragraph" w:styleId="Caption">
    <w:name w:val="caption"/>
    <w:basedOn w:val="BodyText"/>
    <w:next w:val="Normal"/>
    <w:qFormat/>
    <w:rsid w:val="00F92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3CC"/>
  </w:style>
  <w:style w:type="paragraph" w:styleId="TableofFigures">
    <w:name w:val="table of figures"/>
    <w:basedOn w:val="Normal"/>
    <w:next w:val="Normal"/>
    <w:semiHidden/>
    <w:rsid w:val="00F92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3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23CC"/>
    <w:rPr>
      <w:rFonts w:ascii="Wingdings" w:hAnsi="Wingdings"/>
    </w:rPr>
  </w:style>
  <w:style w:type="paragraph" w:customStyle="1" w:styleId="TableHeading">
    <w:name w:val="Table Heading"/>
    <w:basedOn w:val="HeadingBase"/>
    <w:rsid w:val="00F92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3CC"/>
    <w:rPr>
      <w:color w:val="0033CC"/>
      <w:u w:val="none"/>
    </w:rPr>
  </w:style>
  <w:style w:type="paragraph" w:customStyle="1" w:styleId="BodyTextRight">
    <w:name w:val="Body Text Right"/>
    <w:basedOn w:val="BodyText"/>
    <w:rsid w:val="00F92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3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3CC"/>
    <w:rPr>
      <w:sz w:val="32"/>
    </w:rPr>
  </w:style>
  <w:style w:type="paragraph" w:customStyle="1" w:styleId="HeadingProcedure">
    <w:name w:val="Heading Procedure"/>
    <w:basedOn w:val="HeadingBase"/>
    <w:next w:val="Normal"/>
    <w:rsid w:val="00F92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3CC"/>
    <w:pPr>
      <w:spacing w:before="60" w:after="60"/>
    </w:pPr>
  </w:style>
  <w:style w:type="paragraph" w:styleId="ListContinue">
    <w:name w:val="List Continue"/>
    <w:basedOn w:val="List"/>
    <w:rsid w:val="00F923CC"/>
    <w:pPr>
      <w:ind w:firstLine="0"/>
    </w:pPr>
  </w:style>
  <w:style w:type="paragraph" w:customStyle="1" w:styleId="ListNote">
    <w:name w:val="List Note"/>
    <w:basedOn w:val="List"/>
    <w:rsid w:val="00F92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3CC"/>
    <w:rPr>
      <w:rFonts w:ascii="Courier New" w:hAnsi="Courier New"/>
    </w:rPr>
  </w:style>
  <w:style w:type="paragraph" w:customStyle="1" w:styleId="NoteBullet">
    <w:name w:val="Note Bullet"/>
    <w:basedOn w:val="Note"/>
    <w:rsid w:val="00F92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3C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F92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3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2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3CC"/>
    <w:rPr>
      <w:b/>
      <w:smallCaps/>
    </w:rPr>
  </w:style>
  <w:style w:type="paragraph" w:customStyle="1" w:styleId="TableListNumber">
    <w:name w:val="Table List Number"/>
    <w:basedOn w:val="ListNumber"/>
    <w:rsid w:val="00F92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3CC"/>
    <w:pPr>
      <w:numPr>
        <w:numId w:val="10"/>
      </w:numPr>
    </w:pPr>
  </w:style>
  <w:style w:type="paragraph" w:customStyle="1" w:styleId="ListAlpha2">
    <w:name w:val="List Alpha 2"/>
    <w:basedOn w:val="List2"/>
    <w:rsid w:val="00F923CC"/>
    <w:pPr>
      <w:numPr>
        <w:numId w:val="9"/>
      </w:numPr>
    </w:pPr>
  </w:style>
  <w:style w:type="paragraph" w:styleId="List2">
    <w:name w:val="List 2"/>
    <w:basedOn w:val="BodyText"/>
    <w:rsid w:val="00F92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3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23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23CC"/>
    <w:pPr>
      <w:numPr>
        <w:numId w:val="5"/>
      </w:numPr>
    </w:pPr>
  </w:style>
  <w:style w:type="paragraph" w:styleId="ListContinue2">
    <w:name w:val="List Continue 2"/>
    <w:basedOn w:val="List2"/>
    <w:rsid w:val="00F923CC"/>
    <w:pPr>
      <w:ind w:firstLine="0"/>
    </w:pPr>
  </w:style>
  <w:style w:type="paragraph" w:styleId="ListContinue3">
    <w:name w:val="List Continue 3"/>
    <w:basedOn w:val="List3"/>
    <w:rsid w:val="00F923CC"/>
    <w:pPr>
      <w:ind w:left="1021" w:firstLine="0"/>
    </w:pPr>
  </w:style>
  <w:style w:type="paragraph" w:styleId="ListContinue4">
    <w:name w:val="List Continue 4"/>
    <w:basedOn w:val="List4"/>
    <w:rsid w:val="00F923CC"/>
    <w:pPr>
      <w:ind w:firstLine="0"/>
    </w:pPr>
  </w:style>
  <w:style w:type="paragraph" w:styleId="ListContinue5">
    <w:name w:val="List Continue 5"/>
    <w:basedOn w:val="List5"/>
    <w:rsid w:val="00F923CC"/>
    <w:pPr>
      <w:ind w:firstLine="0"/>
    </w:pPr>
  </w:style>
  <w:style w:type="paragraph" w:styleId="ListNumber3">
    <w:name w:val="List Number 3"/>
    <w:basedOn w:val="List3"/>
    <w:rsid w:val="00F923CC"/>
    <w:pPr>
      <w:numPr>
        <w:numId w:val="6"/>
      </w:numPr>
    </w:pPr>
  </w:style>
  <w:style w:type="paragraph" w:styleId="ListNumber4">
    <w:name w:val="List Number 4"/>
    <w:basedOn w:val="List4"/>
    <w:rsid w:val="00F923CC"/>
    <w:pPr>
      <w:numPr>
        <w:numId w:val="7"/>
      </w:numPr>
    </w:pPr>
  </w:style>
  <w:style w:type="paragraph" w:styleId="ListNumber5">
    <w:name w:val="List Number 5"/>
    <w:basedOn w:val="List5"/>
    <w:rsid w:val="00F923CC"/>
    <w:pPr>
      <w:numPr>
        <w:numId w:val="8"/>
      </w:numPr>
    </w:pPr>
  </w:style>
  <w:style w:type="paragraph" w:styleId="BlockText">
    <w:name w:val="Block Text"/>
    <w:basedOn w:val="Normal"/>
    <w:rsid w:val="00F92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3CC"/>
    <w:rPr>
      <w:sz w:val="16"/>
      <w:vertAlign w:val="superscript"/>
    </w:rPr>
  </w:style>
  <w:style w:type="character" w:customStyle="1" w:styleId="Symbols">
    <w:name w:val="Symbols"/>
    <w:basedOn w:val="DefaultParagraphFont"/>
    <w:rsid w:val="00F923CC"/>
    <w:rPr>
      <w:rFonts w:ascii="Symbol" w:hAnsi="Symbol"/>
    </w:rPr>
  </w:style>
  <w:style w:type="character" w:customStyle="1" w:styleId="MenuOptions">
    <w:name w:val="Menu Options"/>
    <w:basedOn w:val="DefaultParagraphFont"/>
    <w:rsid w:val="00F92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3CC"/>
    <w:rPr>
      <w:b/>
    </w:rPr>
  </w:style>
  <w:style w:type="character" w:customStyle="1" w:styleId="Underlined">
    <w:name w:val="Underlined"/>
    <w:basedOn w:val="DefaultParagraphFont"/>
    <w:rsid w:val="00F923CC"/>
    <w:rPr>
      <w:u w:val="single"/>
    </w:rPr>
  </w:style>
  <w:style w:type="paragraph" w:customStyle="1" w:styleId="TableBodyTextRight">
    <w:name w:val="Table Body Text Right"/>
    <w:basedOn w:val="TableBodyText"/>
    <w:rsid w:val="00F92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3CC"/>
    <w:rPr>
      <w:sz w:val="18"/>
    </w:rPr>
  </w:style>
  <w:style w:type="paragraph" w:customStyle="1" w:styleId="BodySmallRight">
    <w:name w:val="Body Small Right"/>
    <w:basedOn w:val="BodyTextRight"/>
    <w:rsid w:val="00F923CC"/>
    <w:rPr>
      <w:sz w:val="18"/>
      <w:szCs w:val="18"/>
    </w:rPr>
  </w:style>
  <w:style w:type="paragraph" w:customStyle="1" w:styleId="MarginEdition">
    <w:name w:val="Margin Edition"/>
    <w:basedOn w:val="MarginNote"/>
    <w:rsid w:val="00F92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3CC"/>
    <w:rPr>
      <w:sz w:val="2"/>
      <w:szCs w:val="2"/>
    </w:rPr>
  </w:style>
  <w:style w:type="character" w:customStyle="1" w:styleId="Small">
    <w:name w:val="Small"/>
    <w:basedOn w:val="DefaultParagraphFont"/>
    <w:rsid w:val="00F923CC"/>
    <w:rPr>
      <w:sz w:val="16"/>
    </w:rPr>
  </w:style>
  <w:style w:type="paragraph" w:customStyle="1" w:styleId="WideTable">
    <w:name w:val="Wide Table"/>
    <w:basedOn w:val="Normal"/>
    <w:rsid w:val="00F92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3CC"/>
  </w:style>
  <w:style w:type="paragraph" w:styleId="Quote">
    <w:name w:val="Quote"/>
    <w:basedOn w:val="Heading1"/>
    <w:link w:val="QuoteChar"/>
    <w:qFormat/>
    <w:rsid w:val="00F92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3CC"/>
    <w:pPr>
      <w:pageBreakBefore/>
    </w:pPr>
  </w:style>
  <w:style w:type="paragraph" w:customStyle="1" w:styleId="Border">
    <w:name w:val="Border"/>
    <w:basedOn w:val="Normal"/>
    <w:qFormat/>
    <w:rsid w:val="00F92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3CC"/>
    <w:rPr>
      <w:u w:val="single"/>
    </w:rPr>
  </w:style>
  <w:style w:type="character" w:customStyle="1" w:styleId="BoldandItalics">
    <w:name w:val="Bold and Italics"/>
    <w:qFormat/>
    <w:rsid w:val="00F923CC"/>
    <w:rPr>
      <w:b/>
      <w:i/>
      <w:u w:val="none"/>
    </w:rPr>
  </w:style>
  <w:style w:type="paragraph" w:styleId="BalloonText">
    <w:name w:val="Balloon Text"/>
    <w:basedOn w:val="Normal"/>
    <w:link w:val="BalloonTextChar"/>
    <w:rsid w:val="00F9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3CC"/>
    <w:pPr>
      <w:spacing w:before="0" w:after="0"/>
    </w:pPr>
  </w:style>
  <w:style w:type="paragraph" w:customStyle="1" w:styleId="BodyTextBold">
    <w:name w:val="Body Text Bold"/>
    <w:basedOn w:val="BodyText"/>
    <w:qFormat/>
    <w:rsid w:val="00F923CC"/>
    <w:rPr>
      <w:b/>
    </w:rPr>
  </w:style>
  <w:style w:type="character" w:styleId="Hyperlink">
    <w:name w:val="Hyperlink"/>
    <w:basedOn w:val="DefaultParagraphFont"/>
    <w:uiPriority w:val="99"/>
    <w:unhideWhenUsed/>
    <w:rsid w:val="00FC5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5251</Characters>
  <Application>Microsoft Office Word</Application>
  <DocSecurity>0</DocSecurity>
  <Lines>138</Lines>
  <Paragraphs>91</Paragraphs>
  <ScaleCrop>false</ScaleCrop>
  <Company>Author-it Software Corporation Ltd.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RIISAM215D Carry out drilling industry operational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2020-03-02T00:37:00Z</dcterms:created>
  <dcterms:modified xsi:type="dcterms:W3CDTF">2020-03-02T00:37:00Z</dcterms:modified>
</cp:coreProperties>
</file>