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F63" w:rsidP="00157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RIIRIS402D Carry out the risk management process</w:t>
      </w:r>
      <w:r>
        <w:fldChar w:fldCharType="end"/>
      </w:r>
    </w:p>
    <w:p w:rsidR="00157F63" w:rsidP="00157F63">
      <w:pPr>
        <w:pStyle w:val="Version"/>
        <w:sectPr w:rsidSect="005C3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395C" w:rsidP="005C395C">
      <w:pPr>
        <w:pStyle w:val="SuperHeading"/>
      </w:pPr>
      <w:r w:rsidRPr="005C395C">
        <w:t>Assessment Requirements for RIIRIS402D Carry out the risk management process</w:t>
      </w:r>
    </w:p>
    <w:p w:rsidR="00000000" w:rsidRPr="005C395C" w:rsidP="005C395C">
      <w:pPr>
        <w:pStyle w:val="Heading1"/>
      </w:pPr>
      <w:bookmarkStart w:id="1" w:name="O_682358"/>
      <w:bookmarkEnd w:id="1"/>
      <w:r w:rsidRPr="005C39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57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5C">
            <w:pPr>
              <w:pStyle w:val="Heading4"/>
              <w:rPr>
                <w:lang w:val="en-NZ"/>
              </w:rPr>
            </w:pPr>
            <w:r w:rsidRPr="005C395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5C">
            <w:pPr>
              <w:pStyle w:val="Heading4"/>
              <w:rPr>
                <w:lang w:val="en-NZ"/>
              </w:rPr>
            </w:pPr>
            <w:r w:rsidRPr="005C395C">
              <w:t>Comment</w:t>
            </w:r>
          </w:p>
        </w:tc>
      </w:tr>
      <w:tr w:rsidTr="00157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This unit replaces RIIRIS402A Carry out the risk management processes</w:t>
            </w:r>
          </w:p>
        </w:tc>
      </w:tr>
      <w:tr w:rsidTr="00157F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95C" w:rsidP="005C395C">
            <w:pPr>
              <w:pStyle w:val="BodyText"/>
            </w:pPr>
            <w:r w:rsidRPr="005C395C">
              <w:t>Required frequency and volume of evidence amended in Performance evidence.</w:t>
            </w:r>
          </w:p>
          <w:p w:rsidR="00000000" w:rsidRPr="005C395C" w:rsidP="005C395C">
            <w:pPr>
              <w:pStyle w:val="BodyText"/>
            </w:pPr>
            <w:r w:rsidRPr="005C395C">
              <w:t>Substantial amendments made in Assessment Conditions field, including: references to Industry Sectors, assessor and subject matter expert experience requirements, how assessment sho</w:t>
            </w:r>
            <w:r w:rsidRPr="005C395C">
              <w:t>uld be conducted and what it should confirm.</w:t>
            </w:r>
          </w:p>
        </w:tc>
      </w:tr>
    </w:tbl>
    <w:p w:rsidR="00000000" w:rsidRPr="005C395C" w:rsidP="005C395C">
      <w:pPr>
        <w:pStyle w:val="BodyText"/>
      </w:pPr>
    </w:p>
    <w:p w:rsidR="00000000" w:rsidRPr="005C395C" w:rsidP="005C395C">
      <w:pPr>
        <w:pStyle w:val="AllowPageBreak"/>
      </w:pPr>
    </w:p>
    <w:p w:rsidR="00000000" w:rsidRPr="005C395C" w:rsidP="005C395C">
      <w:pPr>
        <w:pStyle w:val="Heading1"/>
      </w:pPr>
      <w:bookmarkStart w:id="2" w:name="O_682357"/>
      <w:bookmarkEnd w:id="2"/>
      <w:r w:rsidRPr="005C395C">
        <w:t>Performance Evidence</w:t>
      </w:r>
    </w:p>
    <w:p w:rsidR="00000000" w:rsidRPr="005C395C" w:rsidP="00157F63">
      <w:pPr>
        <w:pStyle w:val="BodyText"/>
      </w:pPr>
      <w:r w:rsidRPr="005C395C">
        <w:t xml:space="preserve">The evidence required to demonstrate competency in this unit must be relevant to the roles within this sector’s worksite operations and satisfy all of the requirements of </w:t>
      </w:r>
      <w:r w:rsidRPr="005C395C">
        <w:t>the performance criteria, required skills and knowledge and the range statement of this unit and include evidence of the following:</w:t>
      </w:r>
    </w:p>
    <w:p w:rsidR="00000000" w:rsidRPr="005C395C" w:rsidP="005C395C">
      <w:pPr>
        <w:pStyle w:val="ListBullet"/>
      </w:pPr>
      <w:r w:rsidRPr="005C395C">
        <w:t xml:space="preserve">obtain and applies relevant legislation, documentation, policies and procedures </w:t>
      </w:r>
    </w:p>
    <w:p w:rsidR="00000000" w:rsidRPr="005C395C" w:rsidP="005C395C">
      <w:pPr>
        <w:pStyle w:val="ListBullet"/>
      </w:pPr>
      <w:r w:rsidRPr="005C395C">
        <w:t>works effectively with others to undertake and complete carrying out the risk management process that meets all of the required outcomes including:</w:t>
      </w:r>
    </w:p>
    <w:p w:rsidR="00000000" w:rsidRPr="005C395C" w:rsidP="005C395C">
      <w:pPr>
        <w:pStyle w:val="ListBullet"/>
      </w:pPr>
      <w:r w:rsidRPr="005C395C">
        <w:t>seeking advice and clarifying findings for unacceptable risks</w:t>
      </w:r>
    </w:p>
    <w:p w:rsidR="00000000" w:rsidRPr="005C395C" w:rsidP="005C395C">
      <w:pPr>
        <w:pStyle w:val="ListBullet"/>
      </w:pPr>
      <w:r w:rsidRPr="005C395C">
        <w:t>communicating to all parties relevant outcomes</w:t>
      </w:r>
      <w:r w:rsidRPr="005C395C">
        <w:t>, work procedures and requirements for managing risk</w:t>
      </w:r>
    </w:p>
    <w:p w:rsidR="00000000" w:rsidRPr="005C395C" w:rsidP="005C395C">
      <w:pPr>
        <w:pStyle w:val="ListBullet"/>
      </w:pPr>
      <w:r w:rsidRPr="005C395C">
        <w:t xml:space="preserve">demonstrates completion of carrying out the risk management process that safely, effectively and efficiently meets all of the required outcomes on more than one (1) occasion including:                   </w:t>
      </w:r>
      <w:r w:rsidRPr="005C395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C395C">
        <w:t xml:space="preserve">           </w:t>
      </w:r>
    </w:p>
    <w:p w:rsidR="00000000" w:rsidRPr="005C395C" w:rsidP="005C395C">
      <w:pPr>
        <w:pStyle w:val="ListBullet2"/>
      </w:pPr>
      <w:r w:rsidRPr="005C395C">
        <w:t xml:space="preserve">facilitating risk assessment exercises for others </w:t>
      </w:r>
    </w:p>
    <w:p w:rsidR="00000000" w:rsidRPr="005C395C" w:rsidP="005C395C">
      <w:pPr>
        <w:pStyle w:val="ListBullet2"/>
      </w:pPr>
      <w:r w:rsidRPr="005C395C">
        <w:t>providing clear and timely instruction and supervision by the individual of those involved in carrying out the risk management</w:t>
      </w:r>
    </w:p>
    <w:p w:rsidR="00000000" w:rsidRPr="005C395C" w:rsidP="005C395C">
      <w:pPr>
        <w:pStyle w:val="ListBullet2"/>
      </w:pPr>
      <w:r w:rsidRPr="005C395C">
        <w:t>providing opportunity for people to undertake hazard identificati</w:t>
      </w:r>
      <w:r w:rsidRPr="005C395C">
        <w:t>on and implement action plans</w:t>
      </w:r>
    </w:p>
    <w:p w:rsidR="00000000" w:rsidRPr="005C395C" w:rsidP="005C395C">
      <w:pPr>
        <w:pStyle w:val="ListBullet2"/>
      </w:pPr>
      <w:r w:rsidRPr="005C395C">
        <w:t>identifying hazards which may have acute and long-term effects on people</w:t>
      </w:r>
    </w:p>
    <w:p w:rsidR="00000000" w:rsidRPr="005C395C" w:rsidP="005C395C">
      <w:pPr>
        <w:pStyle w:val="ListBullet2"/>
      </w:pPr>
      <w:r w:rsidRPr="005C395C">
        <w:t>applying hazard analysis to identify and score the risk</w:t>
      </w:r>
    </w:p>
    <w:p w:rsidR="00000000" w:rsidRPr="005C395C" w:rsidP="005C395C">
      <w:pPr>
        <w:pStyle w:val="ListBullet2"/>
      </w:pPr>
      <w:r w:rsidRPr="005C395C">
        <w:t>selecting and implementing the appropriate treatments using the hierarchy of controls, and reduce</w:t>
      </w:r>
      <w:r w:rsidRPr="005C395C">
        <w:t xml:space="preserve"> unacceptable risk</w:t>
      </w:r>
    </w:p>
    <w:p w:rsidR="00000000" w:rsidRPr="005C395C" w:rsidP="005C395C">
      <w:pPr>
        <w:pStyle w:val="ListBullet2"/>
      </w:pPr>
      <w:r w:rsidRPr="005C395C">
        <w:t xml:space="preserve">auditing outcomes and processes for compliance and effectiveness, and recommend changes to improve effectiveness </w:t>
      </w:r>
    </w:p>
    <w:p w:rsidR="00000000" w:rsidRPr="005C395C" w:rsidP="005C395C">
      <w:pPr>
        <w:pStyle w:val="ListBullet2"/>
      </w:pPr>
      <w:r w:rsidRPr="005C395C">
        <w:t>preparing written risk assessment documentation</w:t>
      </w:r>
    </w:p>
    <w:p w:rsidR="00000000" w:rsidRPr="005C395C" w:rsidP="005C395C">
      <w:pPr>
        <w:pStyle w:val="AllowPageBreak"/>
      </w:pPr>
    </w:p>
    <w:p w:rsidR="00000000" w:rsidRPr="005C395C" w:rsidP="005C395C">
      <w:pPr>
        <w:pStyle w:val="Heading1"/>
      </w:pPr>
      <w:bookmarkStart w:id="3" w:name="O_682356"/>
      <w:bookmarkEnd w:id="3"/>
      <w:r w:rsidRPr="005C395C">
        <w:t>Knowledge Evidence</w:t>
      </w:r>
    </w:p>
    <w:p w:rsidR="00000000" w:rsidRPr="005C395C" w:rsidP="00157F63">
      <w:pPr>
        <w:pStyle w:val="BodyText"/>
      </w:pPr>
      <w:r w:rsidRPr="005C395C">
        <w:t>The candidate must demonstrate knowledge of apply the risk management process through:</w:t>
      </w:r>
    </w:p>
    <w:p w:rsidR="00000000" w:rsidRPr="005C395C" w:rsidP="005C395C">
      <w:pPr>
        <w:pStyle w:val="ListBullet"/>
      </w:pPr>
      <w:r w:rsidRPr="005C395C">
        <w:t>hazards and assessing risks</w:t>
      </w:r>
    </w:p>
    <w:p w:rsidR="00000000" w:rsidRPr="005C395C" w:rsidP="005C395C">
      <w:pPr>
        <w:pStyle w:val="ListBullet"/>
      </w:pPr>
      <w:r w:rsidRPr="005C395C">
        <w:t>acceptability of risks</w:t>
      </w:r>
    </w:p>
    <w:p w:rsidR="00000000" w:rsidRPr="005C395C" w:rsidP="005C395C">
      <w:pPr>
        <w:pStyle w:val="ListBullet"/>
      </w:pPr>
      <w:r w:rsidRPr="005C395C">
        <w:t>identifying existing risk controls</w:t>
      </w:r>
    </w:p>
    <w:p w:rsidR="00000000" w:rsidRPr="005C395C" w:rsidP="005C395C">
      <w:pPr>
        <w:pStyle w:val="ListBullet"/>
      </w:pPr>
      <w:r w:rsidRPr="005C395C">
        <w:t>determining adequacy of current risk controls</w:t>
      </w:r>
    </w:p>
    <w:p w:rsidR="00000000" w:rsidRPr="005C395C" w:rsidP="005C395C">
      <w:pPr>
        <w:pStyle w:val="ListBullet"/>
      </w:pPr>
      <w:r w:rsidRPr="005C395C">
        <w:t>new potential risk controls</w:t>
      </w:r>
    </w:p>
    <w:p w:rsidR="00000000" w:rsidRPr="005C395C" w:rsidP="005C395C">
      <w:pPr>
        <w:pStyle w:val="AllowPageBreak"/>
      </w:pPr>
    </w:p>
    <w:p w:rsidR="00000000" w:rsidRPr="005C395C" w:rsidP="005C395C">
      <w:pPr>
        <w:pStyle w:val="Heading1"/>
      </w:pPr>
      <w:bookmarkStart w:id="4" w:name="O_682354"/>
      <w:bookmarkEnd w:id="4"/>
      <w:r w:rsidRPr="005C395C">
        <w:t>Assessment Conditions</w:t>
      </w:r>
    </w:p>
    <w:p w:rsidR="00000000" w:rsidRPr="005C395C" w:rsidP="005C395C">
      <w:pPr>
        <w:pStyle w:val="ListBullet"/>
      </w:pPr>
      <w:r w:rsidRPr="005C395C">
        <w:t xml:space="preserve">An assessor of this unit must satisfy the requirements of the NVR/AQTF or their successors; and Industry regulations for certification and licensing; and, </w:t>
      </w:r>
    </w:p>
    <w:p w:rsidR="00000000" w:rsidRPr="005C395C" w:rsidP="005C395C">
      <w:pPr>
        <w:pStyle w:val="ListBullet"/>
      </w:pPr>
      <w:r w:rsidRPr="005C395C">
        <w:t>this unit is best assessed in the context of this sector’s work envi</w:t>
      </w:r>
      <w:r w:rsidRPr="005C395C">
        <w:t>ronment;</w:t>
      </w:r>
    </w:p>
    <w:p w:rsidR="00000000" w:rsidRPr="005C395C" w:rsidP="005C395C">
      <w:pPr>
        <w:pStyle w:val="ListBullet"/>
      </w:pPr>
      <w:r w:rsidRPr="005C395C">
        <w:t>where personal safety or environmental damage are limiting factors, assessment may occur in a simulated environment provided it is realistic and sufficiently rigorous to cover all aspects of this sector’s workplace performance, including environme</w:t>
      </w:r>
      <w:r w:rsidRPr="005C395C">
        <w:t>nt, task skills, task management skills, contingency management skills and job role environment skills; and,</w:t>
      </w:r>
    </w:p>
    <w:p w:rsidR="00000000" w:rsidRPr="005C395C" w:rsidP="005C395C">
      <w:pPr>
        <w:pStyle w:val="ListBullet"/>
      </w:pPr>
      <w:r w:rsidRPr="005C395C">
        <w:t>this unit must be assessed in compliance with relevant legislation/regulation and using policies, procedures, processes and operational manuals dir</w:t>
      </w:r>
      <w:r w:rsidRPr="005C395C">
        <w:t>ectly related to the industry sector for which it is being assessed; and,</w:t>
      </w:r>
    </w:p>
    <w:p w:rsidR="00000000" w:rsidRPr="005C395C" w:rsidP="005C395C">
      <w:pPr>
        <w:pStyle w:val="ListBullet"/>
      </w:pPr>
      <w:r w:rsidRPr="005C395C">
        <w:t>assessment may be conducted in conjunction with the assessment of other Units of Competency; and,</w:t>
      </w:r>
    </w:p>
    <w:p w:rsidR="00000000" w:rsidRPr="005C395C" w:rsidP="005C395C">
      <w:pPr>
        <w:pStyle w:val="ListBullet"/>
      </w:pPr>
      <w:r w:rsidRPr="005C395C">
        <w:t>assessment must confirm consistent performance can be applied in a range of relevant</w:t>
      </w:r>
      <w:r w:rsidRPr="005C395C">
        <w:t xml:space="preserve"> workplace circumstances; and,</w:t>
      </w:r>
    </w:p>
    <w:p w:rsidR="00000000" w:rsidRPr="005C395C" w:rsidP="005C395C">
      <w:pPr>
        <w:pStyle w:val="ListBullet"/>
      </w:pPr>
      <w:r w:rsidRPr="005C395C">
        <w:t>assessors must demonstrate the performance evidence, and knowledge evidence as outlined in this Unit of Competency, and through the minimum years of current* work experience specified below in an Industry sector relevant to t</w:t>
      </w:r>
      <w:r w:rsidRPr="005C395C">
        <w:t>he outcomes of the unit; or,</w:t>
      </w:r>
    </w:p>
    <w:p w:rsidR="00000000" w:rsidRPr="005C395C" w:rsidP="005C395C">
      <w:pPr>
        <w:pStyle w:val="ListBullet"/>
      </w:pPr>
      <w:r w:rsidRPr="005C395C">
        <w:t>where the assessor does not meet experience requirements a co-assessment or partnership arrangement must exist between the qualified assessor and an Industry subject matter expert. The Industry subject matter expert should hold</w:t>
      </w:r>
      <w:r w:rsidRPr="005C395C">
        <w:t xml:space="preserve"> the unit being assessed (or an equivalent unit) and/or demonstrate equivalence of skills and knowledge at the unit level. An Industry technical expert must also demonstrate skills and knowledge from the minimum years of current work experience specified b</w:t>
      </w:r>
      <w:r w:rsidRPr="005C395C">
        <w:t>elow in the Industry sector, including time spent in roles related to the unit being assessed; and,</w:t>
      </w:r>
    </w:p>
    <w:p w:rsidR="00000000" w:rsidRPr="005C395C" w:rsidP="005C395C">
      <w:pPr>
        <w:pStyle w:val="ListBullet"/>
      </w:pPr>
      <w:r w:rsidRPr="005C395C">
        <w:t xml:space="preserve">assessor and Industry subject matter expert requirements differ depending on the Australian Qualifications Framework Level (AQF) of the qualification being </w:t>
      </w:r>
      <w:r w:rsidRPr="005C395C">
        <w:t>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C39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SubHeading1"/>
              <w:rPr>
                <w:lang w:val="en-NZ"/>
              </w:rPr>
            </w:pPr>
            <w:r w:rsidRPr="005C395C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SubHeading1"/>
              <w:rPr>
                <w:lang w:val="en-NZ"/>
              </w:rPr>
            </w:pPr>
            <w:r w:rsidRPr="005C395C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SubHeading1"/>
              <w:rPr>
                <w:lang w:val="en-NZ"/>
              </w:rPr>
            </w:pPr>
            <w:r w:rsidRPr="005C395C">
              <w:t>Required assessor or Industry subject matter expert experience</w:t>
            </w:r>
          </w:p>
        </w:tc>
      </w:tr>
      <w:tr w:rsidTr="005C39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 xml:space="preserve">Drilling, Metalliferous Mining, Coal </w:t>
            </w:r>
            <w:r w:rsidRPr="005C395C">
              <w:t>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1 Year</w:t>
            </w:r>
          </w:p>
        </w:tc>
      </w:tr>
      <w:tr w:rsidTr="005C39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2 Years</w:t>
            </w:r>
          </w:p>
        </w:tc>
      </w:tr>
      <w:tr w:rsidTr="005C39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3 Years</w:t>
            </w:r>
          </w:p>
        </w:tc>
      </w:tr>
      <w:tr w:rsidTr="005C39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5 Years</w:t>
            </w:r>
          </w:p>
        </w:tc>
      </w:tr>
      <w:tr w:rsidTr="005C395C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C395C">
            <w:pPr>
              <w:pStyle w:val="BodyText"/>
              <w:rPr>
                <w:lang w:val="en-NZ"/>
              </w:rPr>
            </w:pPr>
            <w:r w:rsidRPr="005C395C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C395C" w:rsidP="005C395C">
            <w:pPr>
              <w:pStyle w:val="BodyText"/>
            </w:pPr>
            <w:r w:rsidRPr="005C395C">
              <w:t>Where this Unit is being assessed outside of the Resources and Infrastructure Sectors assessor and/or Industry subject mat</w:t>
            </w:r>
            <w:r w:rsidRPr="005C395C">
              <w:t>ter expert experience 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5C395C" w:rsidP="00157F63">
      <w:pPr>
        <w:pStyle w:val="BodyText"/>
      </w:pPr>
      <w:r w:rsidRPr="005C395C">
        <w:t>*Assessors can demonstrate current work experience through employment within Industry in a role relevant to the outcomes of the Unit; or, for external assessors this can be demonstrated through exposure to Industry by conducting frequent site assessments a</w:t>
      </w:r>
      <w:r w:rsidRPr="005C395C">
        <w:t>cross various locations.</w:t>
      </w:r>
    </w:p>
    <w:p w:rsidR="00000000" w:rsidRPr="005C395C" w:rsidP="00157F63">
      <w:pPr>
        <w:pStyle w:val="BodyText"/>
      </w:pPr>
      <w:r w:rsidRPr="005C395C">
        <w:t>**Where a unit is being delivered outside of a Qualification the first numeric character in the Unit code should be considered to indicate the AQF level</w:t>
      </w:r>
    </w:p>
    <w:p w:rsidR="00000000" w:rsidRPr="005C395C" w:rsidP="005C395C">
      <w:pPr>
        <w:pStyle w:val="Heading1"/>
      </w:pPr>
      <w:bookmarkStart w:id="5" w:name="O_682368"/>
      <w:bookmarkEnd w:id="5"/>
      <w:r w:rsidRPr="005C395C">
        <w:t>Links</w:t>
      </w:r>
    </w:p>
    <w:p w:rsidR="00000000" w:rsidRPr="005C395C" w:rsidP="00157F63">
      <w:pPr>
        <w:pStyle w:val="BodyText"/>
      </w:pPr>
      <w:r w:rsidRPr="005C395C">
        <w:t>Companion Volume implementation guides are found in VET</w:t>
      </w:r>
      <w:r w:rsidRPr="005C395C">
        <w:t xml:space="preserve">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B38F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C395C" w:rsidP="005C395C"/>
    <w:sectPr w:rsidSect="005C39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5C" w:rsidRPr="00157F63" w:rsidP="00157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63" w:rsidP="005C3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F63" w:rsidP="005C3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57F63" w:rsidP="005C3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95C" w:rsidRPr="00157F63" w:rsidP="00157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F63" w:rsidRPr="002D2AF8" w:rsidP="005C3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RIIRIS402D Carry out the risk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157F63" w:rsidP="005C3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E8FF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8476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9266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95C"/>
  </w:style>
  <w:style w:type="character" w:customStyle="1" w:styleId="Heading1Char">
    <w:name w:val="Heading 1 Char"/>
    <w:basedOn w:val="DefaultParagraphFont"/>
    <w:link w:val="Heading1"/>
    <w:rsid w:val="005C3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95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C3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9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9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39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3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5C395C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5C3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9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95C"/>
    <w:rPr>
      <w:b/>
      <w:spacing w:val="0"/>
    </w:rPr>
  </w:style>
  <w:style w:type="paragraph" w:customStyle="1" w:styleId="SuperTitle">
    <w:name w:val="SuperTitle"/>
    <w:basedOn w:val="Title"/>
    <w:rsid w:val="005C3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9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95C"/>
    <w:rPr>
      <w:i/>
    </w:rPr>
  </w:style>
  <w:style w:type="paragraph" w:styleId="Caption">
    <w:name w:val="caption"/>
    <w:basedOn w:val="BodyText"/>
    <w:next w:val="Normal"/>
    <w:qFormat/>
    <w:rsid w:val="005C3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95C"/>
  </w:style>
  <w:style w:type="paragraph" w:styleId="TableofFigures">
    <w:name w:val="table of figures"/>
    <w:basedOn w:val="Normal"/>
    <w:next w:val="Normal"/>
    <w:semiHidden/>
    <w:rsid w:val="005C3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9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95C"/>
    <w:rPr>
      <w:rFonts w:ascii="Wingdings" w:hAnsi="Wingdings"/>
    </w:rPr>
  </w:style>
  <w:style w:type="paragraph" w:customStyle="1" w:styleId="TableHeading">
    <w:name w:val="Table Heading"/>
    <w:basedOn w:val="HeadingBase"/>
    <w:rsid w:val="005C3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95C"/>
    <w:rPr>
      <w:color w:val="0033CC"/>
      <w:u w:val="none"/>
    </w:rPr>
  </w:style>
  <w:style w:type="paragraph" w:customStyle="1" w:styleId="BodyTextRight">
    <w:name w:val="Body Text Right"/>
    <w:basedOn w:val="BodyText"/>
    <w:rsid w:val="005C3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9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95C"/>
    <w:rPr>
      <w:sz w:val="32"/>
    </w:rPr>
  </w:style>
  <w:style w:type="paragraph" w:customStyle="1" w:styleId="HeadingProcedure">
    <w:name w:val="Heading Procedure"/>
    <w:basedOn w:val="HeadingBase"/>
    <w:next w:val="Normal"/>
    <w:rsid w:val="005C3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95C"/>
    <w:pPr>
      <w:spacing w:before="60" w:after="60"/>
    </w:pPr>
  </w:style>
  <w:style w:type="paragraph" w:styleId="ListContinue">
    <w:name w:val="List Continue"/>
    <w:basedOn w:val="List"/>
    <w:rsid w:val="005C395C"/>
    <w:pPr>
      <w:ind w:firstLine="0"/>
    </w:pPr>
  </w:style>
  <w:style w:type="paragraph" w:customStyle="1" w:styleId="ListNote">
    <w:name w:val="List Note"/>
    <w:basedOn w:val="List"/>
    <w:rsid w:val="005C3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95C"/>
    <w:rPr>
      <w:rFonts w:ascii="Courier New" w:hAnsi="Courier New"/>
    </w:rPr>
  </w:style>
  <w:style w:type="paragraph" w:customStyle="1" w:styleId="NoteBullet">
    <w:name w:val="Note Bullet"/>
    <w:basedOn w:val="Note"/>
    <w:rsid w:val="005C3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95C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5C3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9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95C"/>
    <w:rPr>
      <w:b/>
      <w:smallCaps/>
    </w:rPr>
  </w:style>
  <w:style w:type="paragraph" w:customStyle="1" w:styleId="TableListNumber">
    <w:name w:val="Table List Number"/>
    <w:basedOn w:val="ListNumber"/>
    <w:rsid w:val="005C3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95C"/>
    <w:pPr>
      <w:numPr>
        <w:numId w:val="9"/>
      </w:numPr>
    </w:pPr>
  </w:style>
  <w:style w:type="paragraph" w:customStyle="1" w:styleId="ListAlpha2">
    <w:name w:val="List Alpha 2"/>
    <w:basedOn w:val="List2"/>
    <w:rsid w:val="005C395C"/>
    <w:pPr>
      <w:numPr>
        <w:numId w:val="8"/>
      </w:numPr>
    </w:pPr>
  </w:style>
  <w:style w:type="paragraph" w:styleId="List2">
    <w:name w:val="List 2"/>
    <w:basedOn w:val="BodyText"/>
    <w:rsid w:val="005C3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9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9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95C"/>
    <w:pPr>
      <w:numPr>
        <w:numId w:val="4"/>
      </w:numPr>
    </w:pPr>
  </w:style>
  <w:style w:type="paragraph" w:styleId="ListContinue2">
    <w:name w:val="List Continue 2"/>
    <w:basedOn w:val="List2"/>
    <w:rsid w:val="005C395C"/>
    <w:pPr>
      <w:ind w:firstLine="0"/>
    </w:pPr>
  </w:style>
  <w:style w:type="paragraph" w:styleId="ListContinue3">
    <w:name w:val="List Continue 3"/>
    <w:basedOn w:val="List3"/>
    <w:rsid w:val="005C395C"/>
    <w:pPr>
      <w:ind w:left="1021" w:firstLine="0"/>
    </w:pPr>
  </w:style>
  <w:style w:type="paragraph" w:styleId="ListContinue4">
    <w:name w:val="List Continue 4"/>
    <w:basedOn w:val="List4"/>
    <w:rsid w:val="005C395C"/>
    <w:pPr>
      <w:ind w:firstLine="0"/>
    </w:pPr>
  </w:style>
  <w:style w:type="paragraph" w:styleId="ListContinue5">
    <w:name w:val="List Continue 5"/>
    <w:basedOn w:val="List5"/>
    <w:rsid w:val="005C395C"/>
    <w:pPr>
      <w:ind w:firstLine="0"/>
    </w:pPr>
  </w:style>
  <w:style w:type="paragraph" w:styleId="ListNumber3">
    <w:name w:val="List Number 3"/>
    <w:basedOn w:val="List3"/>
    <w:rsid w:val="005C395C"/>
    <w:pPr>
      <w:numPr>
        <w:numId w:val="5"/>
      </w:numPr>
    </w:pPr>
  </w:style>
  <w:style w:type="paragraph" w:styleId="ListNumber4">
    <w:name w:val="List Number 4"/>
    <w:basedOn w:val="List4"/>
    <w:rsid w:val="005C395C"/>
    <w:pPr>
      <w:numPr>
        <w:numId w:val="6"/>
      </w:numPr>
    </w:pPr>
  </w:style>
  <w:style w:type="paragraph" w:styleId="ListNumber5">
    <w:name w:val="List Number 5"/>
    <w:basedOn w:val="List5"/>
    <w:rsid w:val="005C395C"/>
    <w:pPr>
      <w:numPr>
        <w:numId w:val="7"/>
      </w:numPr>
    </w:pPr>
  </w:style>
  <w:style w:type="paragraph" w:styleId="BlockText">
    <w:name w:val="Block Text"/>
    <w:basedOn w:val="Normal"/>
    <w:rsid w:val="005C3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95C"/>
    <w:rPr>
      <w:sz w:val="16"/>
      <w:vertAlign w:val="superscript"/>
    </w:rPr>
  </w:style>
  <w:style w:type="character" w:customStyle="1" w:styleId="Symbols">
    <w:name w:val="Symbols"/>
    <w:basedOn w:val="DefaultParagraphFont"/>
    <w:rsid w:val="005C395C"/>
    <w:rPr>
      <w:rFonts w:ascii="Symbol" w:hAnsi="Symbol"/>
    </w:rPr>
  </w:style>
  <w:style w:type="character" w:customStyle="1" w:styleId="MenuOptions">
    <w:name w:val="Menu Options"/>
    <w:basedOn w:val="DefaultParagraphFont"/>
    <w:rsid w:val="005C3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95C"/>
    <w:rPr>
      <w:b/>
    </w:rPr>
  </w:style>
  <w:style w:type="character" w:customStyle="1" w:styleId="Underlined">
    <w:name w:val="Underlined"/>
    <w:basedOn w:val="DefaultParagraphFont"/>
    <w:rsid w:val="005C395C"/>
    <w:rPr>
      <w:u w:val="single"/>
    </w:rPr>
  </w:style>
  <w:style w:type="paragraph" w:customStyle="1" w:styleId="TableBodyTextRight">
    <w:name w:val="Table Body Text Right"/>
    <w:basedOn w:val="TableBodyText"/>
    <w:rsid w:val="005C3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95C"/>
    <w:rPr>
      <w:sz w:val="18"/>
    </w:rPr>
  </w:style>
  <w:style w:type="paragraph" w:customStyle="1" w:styleId="BodySmallRight">
    <w:name w:val="Body Small Right"/>
    <w:basedOn w:val="BodyTextRight"/>
    <w:rsid w:val="005C395C"/>
    <w:rPr>
      <w:sz w:val="18"/>
      <w:szCs w:val="18"/>
    </w:rPr>
  </w:style>
  <w:style w:type="paragraph" w:customStyle="1" w:styleId="MarginEdition">
    <w:name w:val="Margin Edition"/>
    <w:basedOn w:val="MarginNote"/>
    <w:rsid w:val="005C3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95C"/>
    <w:rPr>
      <w:sz w:val="2"/>
      <w:szCs w:val="2"/>
    </w:rPr>
  </w:style>
  <w:style w:type="character" w:customStyle="1" w:styleId="Small">
    <w:name w:val="Small"/>
    <w:basedOn w:val="DefaultParagraphFont"/>
    <w:rsid w:val="005C395C"/>
    <w:rPr>
      <w:sz w:val="16"/>
    </w:rPr>
  </w:style>
  <w:style w:type="paragraph" w:customStyle="1" w:styleId="WideTable">
    <w:name w:val="Wide Table"/>
    <w:basedOn w:val="Normal"/>
    <w:rsid w:val="005C3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95C"/>
  </w:style>
  <w:style w:type="paragraph" w:styleId="Quote">
    <w:name w:val="Quote"/>
    <w:basedOn w:val="Heading1"/>
    <w:link w:val="QuoteChar"/>
    <w:qFormat/>
    <w:rsid w:val="005C3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95C"/>
    <w:pPr>
      <w:pageBreakBefore/>
    </w:pPr>
  </w:style>
  <w:style w:type="paragraph" w:customStyle="1" w:styleId="Border">
    <w:name w:val="Border"/>
    <w:basedOn w:val="Normal"/>
    <w:qFormat/>
    <w:rsid w:val="005C3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95C"/>
    <w:rPr>
      <w:u w:val="single"/>
    </w:rPr>
  </w:style>
  <w:style w:type="character" w:customStyle="1" w:styleId="BoldandItalics">
    <w:name w:val="Bold and Italics"/>
    <w:qFormat/>
    <w:rsid w:val="005C395C"/>
    <w:rPr>
      <w:b/>
      <w:i/>
      <w:u w:val="none"/>
    </w:rPr>
  </w:style>
  <w:style w:type="paragraph" w:styleId="BalloonText">
    <w:name w:val="Balloon Text"/>
    <w:basedOn w:val="Normal"/>
    <w:link w:val="BalloonTextChar"/>
    <w:rsid w:val="005C3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95C"/>
    <w:pPr>
      <w:spacing w:before="0" w:after="0"/>
    </w:pPr>
  </w:style>
  <w:style w:type="paragraph" w:customStyle="1" w:styleId="BodyTextBold">
    <w:name w:val="Body Text Bold"/>
    <w:basedOn w:val="BodyText"/>
    <w:qFormat/>
    <w:rsid w:val="005C395C"/>
    <w:rPr>
      <w:b/>
    </w:rPr>
  </w:style>
  <w:style w:type="character" w:styleId="Hyperlink">
    <w:name w:val="Hyperlink"/>
    <w:basedOn w:val="DefaultParagraphFont"/>
    <w:uiPriority w:val="99"/>
    <w:unhideWhenUsed/>
    <w:rsid w:val="00157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866</Words>
  <Characters>5347</Characters>
  <Application>Microsoft Office Word</Application>
  <DocSecurity>0</DocSecurity>
  <Lines>130</Lines>
  <Paragraphs>78</Paragraphs>
  <ScaleCrop>false</ScaleCrop>
  <Company>Author-it Software Corporation Ltd.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RIIRIS402D Carry out the risk management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2021-09-21T07:23:00Z</dcterms:created>
  <dcterms:modified xsi:type="dcterms:W3CDTF">2021-09-21T07:23:00Z</dcterms:modified>
</cp:coreProperties>
</file>