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21E" w:rsidP="0055021E">
      <w:pPr>
        <w:pStyle w:val="Title"/>
      </w:pPr>
      <w:r>
        <w:fldChar w:fldCharType="begin"/>
      </w:r>
      <w:r>
        <w:instrText xml:space="preserve"> TITLE   \* MERGEFORMAT </w:instrText>
      </w:r>
      <w:r>
        <w:fldChar w:fldCharType="separate"/>
      </w:r>
      <w:r>
        <w:t>Assessment Requirements for RIIRAI603D Establish and maintain mine transport systems and production equipment</w:t>
      </w:r>
      <w:r>
        <w:fldChar w:fldCharType="end"/>
      </w:r>
    </w:p>
    <w:p w:rsidR="0055021E" w:rsidP="0055021E">
      <w:pPr>
        <w:pStyle w:val="Version"/>
        <w:sectPr w:rsidSect="00C61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C80" w:rsidP="00C61C80">
      <w:pPr>
        <w:pStyle w:val="SuperHeading"/>
      </w:pPr>
      <w:r w:rsidRPr="00C61C80">
        <w:t>Assessment Requirements for RIIRAI603D Establish and maintain mine transport systems and production equipment</w:t>
      </w:r>
    </w:p>
    <w:p w:rsidR="00000000" w:rsidRPr="00C61C80" w:rsidP="00C61C80">
      <w:pPr>
        <w:pStyle w:val="Heading1"/>
      </w:pPr>
      <w:bookmarkStart w:id="1" w:name="O_686377"/>
      <w:bookmarkEnd w:id="1"/>
      <w:r w:rsidRPr="00C61C80">
        <w:t>Modification History</w:t>
      </w:r>
    </w:p>
    <w:tbl>
      <w:tblPr>
        <w:tblW w:w="0" w:type="auto"/>
        <w:tblCellMar>
          <w:left w:w="62" w:type="dxa"/>
          <w:right w:w="62" w:type="dxa"/>
        </w:tblCellMar>
        <w:tblLook w:val="0000"/>
      </w:tblPr>
      <w:tblGrid>
        <w:gridCol w:w="1107"/>
        <w:gridCol w:w="8089"/>
      </w:tblGrid>
      <w:tr w:rsidTr="00550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C80">
            <w:pPr>
              <w:pStyle w:val="Heading4"/>
              <w:rPr>
                <w:lang w:val="en-NZ"/>
              </w:rPr>
            </w:pPr>
            <w:r w:rsidRPr="00C61C8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C80">
            <w:pPr>
              <w:pStyle w:val="Heading4"/>
              <w:rPr>
                <w:lang w:val="en-NZ"/>
              </w:rPr>
            </w:pPr>
            <w:r w:rsidRPr="00C61C80">
              <w:t>Comment</w:t>
            </w:r>
          </w:p>
        </w:tc>
      </w:tr>
      <w:tr w:rsidTr="00550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C80">
            <w:pPr>
              <w:pStyle w:val="BodyText"/>
              <w:rPr>
                <w:lang w:val="en-NZ"/>
              </w:rPr>
            </w:pPr>
            <w:r w:rsidRPr="00C61C8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C80">
            <w:pPr>
              <w:pStyle w:val="BodyText"/>
              <w:rPr>
                <w:lang w:val="en-NZ"/>
              </w:rPr>
            </w:pPr>
            <w:r w:rsidRPr="00C61C80">
              <w:t>This unit replaces RIIRAI603A Establish and maintain mine transport systems and production equipment</w:t>
            </w:r>
          </w:p>
        </w:tc>
      </w:tr>
      <w:tr w:rsidTr="00550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C80">
            <w:pPr>
              <w:pStyle w:val="BodyText"/>
              <w:rPr>
                <w:lang w:val="en-NZ"/>
              </w:rPr>
            </w:pPr>
            <w:r w:rsidRPr="00C61C8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C80" w:rsidP="00C61C80">
            <w:pPr>
              <w:pStyle w:val="BodyText"/>
            </w:pPr>
            <w:r w:rsidRPr="00C61C80">
              <w:t>Required frequency and volume of evidence amended in Performance evidence.</w:t>
            </w:r>
          </w:p>
          <w:p w:rsidR="00000000" w:rsidRPr="00C61C80" w:rsidP="00C61C80">
            <w:pPr>
              <w:pStyle w:val="BodyText"/>
            </w:pPr>
            <w:r w:rsidRPr="00C61C80">
              <w:t>Substantial amendments made in Assessment Conditions field, including: refere</w:t>
            </w:r>
            <w:r w:rsidRPr="00C61C80">
              <w:t>nces to Industry Sectors, assessor and subject matter expert experience requirements, how assessment should be conducted and what it should confirm.</w:t>
            </w:r>
          </w:p>
        </w:tc>
      </w:tr>
    </w:tbl>
    <w:p w:rsidR="00000000" w:rsidRPr="00C61C80" w:rsidP="00C61C80">
      <w:pPr>
        <w:pStyle w:val="BodyText"/>
      </w:pPr>
    </w:p>
    <w:p w:rsidR="00000000" w:rsidRPr="00C61C80" w:rsidP="00C61C80">
      <w:pPr>
        <w:pStyle w:val="AllowPageBreak"/>
      </w:pPr>
    </w:p>
    <w:p w:rsidR="00000000" w:rsidRPr="00C61C80" w:rsidP="00C61C80">
      <w:pPr>
        <w:pStyle w:val="Heading1"/>
      </w:pPr>
      <w:bookmarkStart w:id="2" w:name="O_686376"/>
      <w:bookmarkEnd w:id="2"/>
      <w:r w:rsidRPr="00C61C80">
        <w:t>Performance Evidence</w:t>
      </w:r>
    </w:p>
    <w:p w:rsidR="00000000" w:rsidRPr="00C61C80" w:rsidP="0055021E">
      <w:pPr>
        <w:pStyle w:val="BodyText"/>
      </w:pPr>
      <w:r w:rsidRPr="00C61C80">
        <w:t>Evidence is required to be collected that demonstrates a candidate’</w:t>
      </w:r>
      <w:r w:rsidRPr="00C61C80">
        <w:t>s competency in this unit. Evidence must be relevant to the roles within this sector’s work operations and satisfy all of the requirements of the performance criteria of this unit and include evidence that the candidate:</w:t>
      </w:r>
    </w:p>
    <w:p w:rsidR="00000000" w:rsidRPr="00C61C80" w:rsidP="00C61C80">
      <w:pPr>
        <w:pStyle w:val="ListBullet2"/>
      </w:pPr>
      <w:r w:rsidRPr="00C61C80">
        <w:t>locates and applies relevant legis</w:t>
      </w:r>
      <w:r w:rsidRPr="00C61C80">
        <w:t>lation, documentation, policies and procedures</w:t>
      </w:r>
    </w:p>
    <w:p w:rsidR="00000000" w:rsidRPr="00C61C80" w:rsidP="00C61C80">
      <w:pPr>
        <w:pStyle w:val="ListBullet2"/>
      </w:pPr>
      <w:r w:rsidRPr="00C61C80">
        <w:t>implements procedures and techniques for the safe, effective and efficient establishing and maintenance of mine transport systems and production equipment including:</w:t>
      </w:r>
    </w:p>
    <w:p w:rsidR="00000000" w:rsidRPr="00C61C80" w:rsidP="00C61C80">
      <w:pPr>
        <w:pStyle w:val="ListBullet2"/>
      </w:pPr>
      <w:r w:rsidRPr="00C61C80">
        <w:t>accessing, interpreting and applying procedures for;</w:t>
      </w:r>
    </w:p>
    <w:p w:rsidR="00000000" w:rsidRPr="00C61C80" w:rsidP="00C61C80">
      <w:pPr>
        <w:pStyle w:val="ListBullet3"/>
      </w:pPr>
      <w:r w:rsidRPr="00C61C80">
        <w:t>managing technical information</w:t>
      </w:r>
    </w:p>
    <w:p w:rsidR="00000000" w:rsidRPr="00C61C80" w:rsidP="00C61C80">
      <w:pPr>
        <w:pStyle w:val="ListBullet3"/>
      </w:pPr>
      <w:r w:rsidRPr="00C61C80">
        <w:t>managing site/legislative requirements</w:t>
      </w:r>
    </w:p>
    <w:p w:rsidR="00000000" w:rsidRPr="00C61C80" w:rsidP="00C61C80">
      <w:pPr>
        <w:pStyle w:val="ListBullet3"/>
      </w:pPr>
      <w:r w:rsidRPr="00C61C80">
        <w:t>establishing recording and reporting systems</w:t>
      </w:r>
    </w:p>
    <w:p w:rsidR="00000000" w:rsidRPr="00C61C80" w:rsidP="00C61C80">
      <w:pPr>
        <w:pStyle w:val="ListBullet3"/>
      </w:pPr>
      <w:r w:rsidRPr="00C61C80">
        <w:t>conducting briefings and handover details</w:t>
      </w:r>
    </w:p>
    <w:p w:rsidR="00000000" w:rsidRPr="00C61C80" w:rsidP="00C61C80">
      <w:pPr>
        <w:pStyle w:val="ListBullet3"/>
      </w:pPr>
      <w:r w:rsidRPr="00C61C80">
        <w:t>applying the principles of mine design</w:t>
      </w:r>
    </w:p>
    <w:p w:rsidR="00000000" w:rsidRPr="00C61C80" w:rsidP="00C61C80">
      <w:pPr>
        <w:pStyle w:val="ListBullet3"/>
      </w:pPr>
      <w:r w:rsidRPr="00C61C80">
        <w:t>hazard</w:t>
      </w:r>
      <w:r w:rsidRPr="00C61C80">
        <w:t xml:space="preserve"> identification and risk management</w:t>
      </w:r>
    </w:p>
    <w:p w:rsidR="00000000" w:rsidRPr="00C61C80" w:rsidP="00C61C80">
      <w:pPr>
        <w:pStyle w:val="ListBullet3"/>
      </w:pPr>
      <w:r w:rsidRPr="00C61C80">
        <w:t>work planning and coordination</w:t>
      </w:r>
    </w:p>
    <w:p w:rsidR="00000000" w:rsidRPr="00C61C80" w:rsidP="00C61C80">
      <w:pPr>
        <w:pStyle w:val="ListBullet3"/>
      </w:pPr>
      <w:r w:rsidRPr="00C61C80">
        <w:t>training needs analysis</w:t>
      </w:r>
    </w:p>
    <w:p w:rsidR="00000000" w:rsidRPr="00C61C80" w:rsidP="00C61C80">
      <w:pPr>
        <w:pStyle w:val="ListBullet3"/>
      </w:pPr>
      <w:r w:rsidRPr="00C61C80">
        <w:t>using manufacturers’ instructions</w:t>
      </w:r>
    </w:p>
    <w:p w:rsidR="00000000" w:rsidRPr="00C61C80" w:rsidP="00C61C80">
      <w:pPr>
        <w:pStyle w:val="ListBullet2"/>
      </w:pPr>
      <w:r w:rsidRPr="00C61C80">
        <w:t xml:space="preserve">works effectively with others to undertake and complete the establishing and maintenance of mine transport systems and production </w:t>
      </w:r>
      <w:r w:rsidRPr="00C61C80">
        <w:t>equipment including:</w:t>
      </w:r>
    </w:p>
    <w:p w:rsidR="00000000" w:rsidRPr="00C61C80" w:rsidP="00C61C80">
      <w:pPr>
        <w:pStyle w:val="ListBullet3"/>
      </w:pPr>
      <w:r w:rsidRPr="00C61C80">
        <w:t>managing people and processes</w:t>
      </w:r>
    </w:p>
    <w:p w:rsidR="00000000" w:rsidRPr="00C61C80" w:rsidP="00C61C80">
      <w:pPr>
        <w:pStyle w:val="ListBullet3"/>
      </w:pPr>
      <w:r w:rsidRPr="00C61C80">
        <w:t>resolving conflict</w:t>
      </w:r>
    </w:p>
    <w:p w:rsidR="00000000" w:rsidRPr="00C61C80" w:rsidP="00C61C80">
      <w:pPr>
        <w:pStyle w:val="ListBullet3"/>
      </w:pPr>
      <w:r w:rsidRPr="00C61C80">
        <w:t xml:space="preserve">coordinating human, financial and physical resources </w:t>
      </w:r>
    </w:p>
    <w:p w:rsidR="00000000" w:rsidRPr="00C61C80" w:rsidP="00C61C80">
      <w:pPr>
        <w:pStyle w:val="ListBullet3"/>
      </w:pPr>
      <w:r w:rsidRPr="00C61C80">
        <w:t>developing, initiating and administering work plans</w:t>
      </w:r>
    </w:p>
    <w:p w:rsidR="00000000" w:rsidRPr="00C61C80" w:rsidP="00C61C80">
      <w:pPr>
        <w:pStyle w:val="ListBullet3"/>
      </w:pPr>
      <w:r w:rsidRPr="00C61C80">
        <w:t>interpreting and applying operational performance data</w:t>
      </w:r>
    </w:p>
    <w:p w:rsidR="00000000" w:rsidRPr="00C61C80" w:rsidP="00C61C80">
      <w:pPr>
        <w:pStyle w:val="ListBullet3"/>
      </w:pPr>
      <w:r w:rsidRPr="00C61C80">
        <w:t xml:space="preserve">engaging internal and external stakeholders </w:t>
      </w:r>
    </w:p>
    <w:p w:rsidR="00000000" w:rsidRPr="00C61C80" w:rsidP="00C61C80">
      <w:pPr>
        <w:pStyle w:val="ListBullet2"/>
      </w:pPr>
      <w:r w:rsidRPr="00C61C80">
        <w:t>demonstrates completion of the establishment and maintenance of mine transport systems and production equipment that safely, effectively and efficiently meets all of the required outcomes on more than one (1) o</w:t>
      </w:r>
      <w:r w:rsidRPr="00C61C80">
        <w:t>ccasion including:</w:t>
      </w:r>
    </w:p>
    <w:p w:rsidR="00000000" w:rsidRPr="00C61C80" w:rsidP="00C61C80">
      <w:pPr>
        <w:pStyle w:val="ListBullet3"/>
      </w:pPr>
      <w:r w:rsidRPr="00C61C80">
        <w:t>identification of the relevant information and scope of the work</w:t>
      </w:r>
    </w:p>
    <w:p w:rsidR="00000000" w:rsidRPr="00C61C80" w:rsidP="00C61C80">
      <w:pPr>
        <w:pStyle w:val="ListBullet3"/>
      </w:pPr>
      <w:r w:rsidRPr="00C61C80">
        <w:t>identifying the full range of specification requirements</w:t>
      </w:r>
    </w:p>
    <w:p w:rsidR="00000000" w:rsidRPr="00C61C80" w:rsidP="00C61C80">
      <w:pPr>
        <w:pStyle w:val="ListBullet3"/>
      </w:pPr>
      <w:r w:rsidRPr="00C61C80">
        <w:t>identifying all aspects of the mine transport systems and production equipment</w:t>
      </w:r>
    </w:p>
    <w:p w:rsidR="00000000" w:rsidRPr="00C61C80" w:rsidP="00C61C80">
      <w:pPr>
        <w:pStyle w:val="ListBullet3"/>
      </w:pPr>
      <w:r w:rsidRPr="00C61C80">
        <w:t>establishing the audit and review s</w:t>
      </w:r>
      <w:r w:rsidRPr="00C61C80">
        <w:t>ystem</w:t>
      </w:r>
    </w:p>
    <w:p w:rsidR="00000000" w:rsidRPr="00C61C80" w:rsidP="00C61C80">
      <w:pPr>
        <w:pStyle w:val="ListBullet3"/>
      </w:pPr>
      <w:r w:rsidRPr="00C61C80">
        <w:t>identifying design/selection options from an analysis of all relevant information</w:t>
      </w:r>
    </w:p>
    <w:p w:rsidR="00000000" w:rsidRPr="00C61C80" w:rsidP="00C61C80">
      <w:pPr>
        <w:pStyle w:val="ListBullet3"/>
      </w:pPr>
      <w:r w:rsidRPr="00C61C80">
        <w:t>selecting the preferred plant, equipment and services options on the basis of performance against specification requirements</w:t>
      </w:r>
    </w:p>
    <w:p w:rsidR="00000000" w:rsidRPr="00C61C80" w:rsidP="00C61C80">
      <w:pPr>
        <w:pStyle w:val="AllowPageBreak"/>
      </w:pPr>
    </w:p>
    <w:p w:rsidR="00000000" w:rsidRPr="00C61C80" w:rsidP="00C61C80">
      <w:pPr>
        <w:pStyle w:val="Heading1"/>
      </w:pPr>
      <w:bookmarkStart w:id="3" w:name="O_686375"/>
      <w:bookmarkEnd w:id="3"/>
      <w:r w:rsidRPr="00C61C80">
        <w:t>Knowledge Evidence</w:t>
      </w:r>
    </w:p>
    <w:p w:rsidR="00000000" w:rsidRPr="00C61C80" w:rsidP="0055021E">
      <w:pPr>
        <w:pStyle w:val="BodyText"/>
      </w:pPr>
      <w:r w:rsidRPr="00C61C80">
        <w:t>The candidate must demonstrate knowledge in establishing and maintaining mine transport systems and production equipment through:</w:t>
      </w:r>
    </w:p>
    <w:p w:rsidR="00000000" w:rsidRPr="00C61C80" w:rsidP="00C61C80">
      <w:pPr>
        <w:pStyle w:val="ListBullet2"/>
      </w:pPr>
      <w:r w:rsidRPr="00C61C80">
        <w:t>legislative, organisation and site requirements and procedures for;</w:t>
      </w:r>
    </w:p>
    <w:p w:rsidR="00000000" w:rsidRPr="00C61C80" w:rsidP="00C61C80">
      <w:pPr>
        <w:pStyle w:val="ListBullet3"/>
      </w:pPr>
      <w:r w:rsidRPr="00C61C80">
        <w:t>transport rules</w:t>
      </w:r>
    </w:p>
    <w:p w:rsidR="00000000" w:rsidRPr="00C61C80" w:rsidP="00C61C80">
      <w:pPr>
        <w:pStyle w:val="ListBullet3"/>
      </w:pPr>
      <w:r w:rsidRPr="00C61C80">
        <w:t>maintenance schemes</w:t>
      </w:r>
    </w:p>
    <w:p w:rsidR="00000000" w:rsidRPr="00C61C80" w:rsidP="00C61C80">
      <w:pPr>
        <w:pStyle w:val="ListBullet3"/>
      </w:pPr>
      <w:r w:rsidRPr="00C61C80">
        <w:t>standard operating p</w:t>
      </w:r>
      <w:r w:rsidRPr="00C61C80">
        <w:t>rocedures</w:t>
      </w:r>
    </w:p>
    <w:p w:rsidR="00000000" w:rsidRPr="00C61C80" w:rsidP="00C61C80">
      <w:pPr>
        <w:pStyle w:val="ListBullet3"/>
      </w:pPr>
      <w:r w:rsidRPr="00C61C80">
        <w:t>training</w:t>
      </w:r>
    </w:p>
    <w:p w:rsidR="00000000" w:rsidRPr="00C61C80" w:rsidP="00C61C80">
      <w:pPr>
        <w:pStyle w:val="ListBullet3"/>
      </w:pPr>
      <w:r w:rsidRPr="00C61C80">
        <w:t>testing on diesel vehicles</w:t>
      </w:r>
    </w:p>
    <w:p w:rsidR="00000000" w:rsidRPr="00C61C80" w:rsidP="00C61C80">
      <w:pPr>
        <w:pStyle w:val="ListBullet3"/>
      </w:pPr>
      <w:r w:rsidRPr="00C61C80">
        <w:t xml:space="preserve">battery charging, </w:t>
      </w:r>
    </w:p>
    <w:p w:rsidR="00000000" w:rsidRPr="00C61C80" w:rsidP="00C61C80">
      <w:pPr>
        <w:pStyle w:val="ListBullet3"/>
      </w:pPr>
      <w:r w:rsidRPr="00C61C80">
        <w:t>underground fuel depots</w:t>
      </w:r>
    </w:p>
    <w:p w:rsidR="00000000" w:rsidRPr="00C61C80" w:rsidP="00C61C80">
      <w:pPr>
        <w:pStyle w:val="ListBullet3"/>
      </w:pPr>
      <w:r w:rsidRPr="00C61C80">
        <w:t>conveyor belts</w:t>
      </w:r>
    </w:p>
    <w:p w:rsidR="00000000" w:rsidRPr="00C61C80" w:rsidP="00C61C80">
      <w:pPr>
        <w:pStyle w:val="ListBullet3"/>
      </w:pPr>
      <w:r w:rsidRPr="00C61C80">
        <w:t>mine operation procedures</w:t>
      </w:r>
    </w:p>
    <w:p w:rsidR="00000000" w:rsidRPr="00C61C80" w:rsidP="00C61C80">
      <w:pPr>
        <w:pStyle w:val="ListBullet3"/>
      </w:pPr>
      <w:r w:rsidRPr="00C61C80">
        <w:t>geological structures</w:t>
      </w:r>
    </w:p>
    <w:p w:rsidR="00000000" w:rsidRPr="00C61C80" w:rsidP="00C61C80">
      <w:pPr>
        <w:pStyle w:val="ListBullet3"/>
      </w:pPr>
      <w:r w:rsidRPr="00C61C80">
        <w:t>mine plans</w:t>
      </w:r>
    </w:p>
    <w:p w:rsidR="00000000" w:rsidRPr="00C61C80" w:rsidP="00C61C80">
      <w:pPr>
        <w:pStyle w:val="ListBullet3"/>
      </w:pPr>
      <w:r w:rsidRPr="00C61C80">
        <w:t>site environmental monitoring</w:t>
      </w:r>
    </w:p>
    <w:p w:rsidR="00000000" w:rsidRPr="00C61C80" w:rsidP="00C61C80">
      <w:pPr>
        <w:pStyle w:val="ListBullet3"/>
      </w:pPr>
      <w:r w:rsidRPr="00C61C80">
        <w:t>risk management</w:t>
      </w:r>
    </w:p>
    <w:p w:rsidR="00000000" w:rsidRPr="00C61C80" w:rsidP="00C61C80">
      <w:pPr>
        <w:pStyle w:val="ListBullet3"/>
      </w:pPr>
      <w:r w:rsidRPr="00C61C80">
        <w:t>production and transport systems and equipment legislative inspection requirements</w:t>
      </w:r>
    </w:p>
    <w:p w:rsidR="00000000" w:rsidRPr="00C61C80" w:rsidP="00C61C80">
      <w:pPr>
        <w:pStyle w:val="ListBullet3"/>
      </w:pPr>
      <w:r w:rsidRPr="00C61C80">
        <w:t>mine reporting procedures</w:t>
      </w:r>
    </w:p>
    <w:p w:rsidR="00000000" w:rsidRPr="00C61C80" w:rsidP="00C61C80">
      <w:pPr>
        <w:pStyle w:val="ListBullet3"/>
      </w:pPr>
      <w:r w:rsidRPr="00C61C80">
        <w:t>emergency response and evacuation planning processes and techniques</w:t>
      </w:r>
    </w:p>
    <w:p w:rsidR="00000000" w:rsidRPr="00C61C80" w:rsidP="00C61C80">
      <w:pPr>
        <w:pStyle w:val="ListBullet3"/>
      </w:pPr>
      <w:r w:rsidRPr="00C61C80">
        <w:t>audit review processes and techniques</w:t>
      </w:r>
    </w:p>
    <w:p w:rsidR="00000000" w:rsidRPr="00C61C80" w:rsidP="00C61C80">
      <w:pPr>
        <w:pStyle w:val="ListBullet2"/>
      </w:pPr>
      <w:r w:rsidRPr="00C61C80">
        <w:t>production and transport systems and equ</w:t>
      </w:r>
      <w:r w:rsidRPr="00C61C80">
        <w:t>ipment management requirements</w:t>
      </w:r>
    </w:p>
    <w:p w:rsidR="00000000" w:rsidRPr="00C61C80" w:rsidP="00C61C80">
      <w:pPr>
        <w:pStyle w:val="ListBullet2"/>
      </w:pPr>
      <w:r w:rsidRPr="00C61C80">
        <w:t>mine design relating to production and transport systems and equipment</w:t>
      </w:r>
    </w:p>
    <w:p w:rsidR="00000000" w:rsidRPr="00C61C80" w:rsidP="00C61C80">
      <w:pPr>
        <w:pStyle w:val="ListBullet2"/>
      </w:pPr>
      <w:r w:rsidRPr="00C61C80">
        <w:t>production and transport equipment and systems; the types, uses, characteristics and limitations appropriate for safe operation at the mine site</w:t>
      </w:r>
    </w:p>
    <w:p w:rsidR="00000000" w:rsidRPr="00C61C80" w:rsidP="00C61C80">
      <w:pPr>
        <w:pStyle w:val="ListBullet2"/>
      </w:pPr>
      <w:r w:rsidRPr="00C61C80">
        <w:t>energy so</w:t>
      </w:r>
      <w:r w:rsidRPr="00C61C80">
        <w:t>urces including electrical, hydraulic, pneumatic, diesel</w:t>
      </w:r>
    </w:p>
    <w:p w:rsidR="00000000" w:rsidRPr="00C61C80" w:rsidP="00C61C80">
      <w:pPr>
        <w:pStyle w:val="ListBullet2"/>
      </w:pPr>
      <w:r w:rsidRPr="00C61C80">
        <w:t>safety design features of production and transport systems</w:t>
      </w:r>
    </w:p>
    <w:p w:rsidR="00000000" w:rsidRPr="00C61C80" w:rsidP="00C61C80">
      <w:pPr>
        <w:pStyle w:val="ListBullet2"/>
      </w:pPr>
      <w:r w:rsidRPr="00C61C80">
        <w:t>standard operating procedures relating to production and transport equipment</w:t>
      </w:r>
    </w:p>
    <w:p w:rsidR="00000000" w:rsidRPr="00C61C80" w:rsidP="00C61C80">
      <w:pPr>
        <w:pStyle w:val="ListBullet2"/>
      </w:pPr>
      <w:r w:rsidRPr="00C61C80">
        <w:t>stores system</w:t>
      </w:r>
    </w:p>
    <w:p w:rsidR="00000000" w:rsidRPr="00C61C80" w:rsidP="00C61C80">
      <w:pPr>
        <w:pStyle w:val="ListBullet2"/>
      </w:pPr>
      <w:r w:rsidRPr="00C61C80">
        <w:t>specification design criteria, including noise, d</w:t>
      </w:r>
      <w:r w:rsidRPr="00C61C80">
        <w:t>ust, lighting, ergonomics, remote control, physical clearance, confined space, visibility, seating vibration and machine equipment and personal protection</w:t>
      </w:r>
    </w:p>
    <w:p w:rsidR="00000000" w:rsidRPr="00C61C80" w:rsidP="00C61C80">
      <w:pPr>
        <w:pStyle w:val="ListBullet2"/>
      </w:pPr>
      <w:r w:rsidRPr="00C61C80">
        <w:t>training programs</w:t>
      </w:r>
    </w:p>
    <w:p w:rsidR="00000000" w:rsidRPr="00C61C80" w:rsidP="00C61C80">
      <w:pPr>
        <w:pStyle w:val="ListBullet2"/>
      </w:pPr>
      <w:r w:rsidRPr="00C61C80">
        <w:t>computer based systems relating to production and transport systems</w:t>
      </w:r>
    </w:p>
    <w:p w:rsidR="00000000" w:rsidRPr="00C61C80" w:rsidP="00C61C80">
      <w:pPr>
        <w:pStyle w:val="ListBullet2"/>
      </w:pPr>
      <w:r w:rsidRPr="00C61C80">
        <w:t>firefighting systems</w:t>
      </w:r>
    </w:p>
    <w:p w:rsidR="00000000" w:rsidRPr="00C61C80" w:rsidP="00C61C80">
      <w:pPr>
        <w:pStyle w:val="AllowPageBreak"/>
      </w:pPr>
    </w:p>
    <w:p w:rsidR="00000000" w:rsidRPr="00C61C80" w:rsidP="00C61C80">
      <w:pPr>
        <w:pStyle w:val="Heading1"/>
      </w:pPr>
      <w:bookmarkStart w:id="4" w:name="O_686374"/>
      <w:bookmarkEnd w:id="4"/>
      <w:r w:rsidRPr="00C61C80">
        <w:t>Assessment Conditions</w:t>
      </w:r>
    </w:p>
    <w:p w:rsidR="00000000" w:rsidRPr="00C61C80" w:rsidP="00C61C80">
      <w:pPr>
        <w:pStyle w:val="ListBullet"/>
      </w:pPr>
      <w:r w:rsidRPr="00C61C80">
        <w:t xml:space="preserve">An assessor of this unit must satisfy the requirements of the NVR/AQTF or their successors; and Industry regulations for certification and licensing; and, </w:t>
      </w:r>
    </w:p>
    <w:p w:rsidR="00000000" w:rsidRPr="00C61C80" w:rsidP="00C61C80">
      <w:pPr>
        <w:pStyle w:val="ListBullet"/>
      </w:pPr>
      <w:r w:rsidRPr="00C61C80">
        <w:t>this unit must be assessed in the conte</w:t>
      </w:r>
      <w:r w:rsidRPr="00C61C80">
        <w:t>xt of this sector’s work environment; and,</w:t>
      </w:r>
    </w:p>
    <w:p w:rsidR="00000000" w:rsidRPr="00C61C80" w:rsidP="00C61C80">
      <w:pPr>
        <w:pStyle w:val="ListBullet"/>
      </w:pPr>
      <w:r w:rsidRPr="00C61C80">
        <w:t>this unit must be assessed in compliance with relevant legislation/regulation and using policies, procedures, processes and operational manuals directly related to the industry sector for which it is being assesse</w:t>
      </w:r>
      <w:r w:rsidRPr="00C61C80">
        <w:t>d; and,</w:t>
      </w:r>
    </w:p>
    <w:p w:rsidR="00000000" w:rsidRPr="00C61C80" w:rsidP="00C61C80">
      <w:pPr>
        <w:pStyle w:val="ListBullet"/>
      </w:pPr>
      <w:r w:rsidRPr="00C61C80">
        <w:t>assessment may be conducted in conjunction with the assessment of other Units of Competency; and,</w:t>
      </w:r>
    </w:p>
    <w:p w:rsidR="00000000" w:rsidRPr="00C61C80" w:rsidP="00C61C80">
      <w:pPr>
        <w:pStyle w:val="ListBullet"/>
      </w:pPr>
      <w:r w:rsidRPr="00C61C80">
        <w:t>assessment must confirm consistent performance can be applied in a range of relevant workplace circumstances; and,</w:t>
      </w:r>
    </w:p>
    <w:p w:rsidR="00000000" w:rsidRPr="00C61C80" w:rsidP="00C61C80">
      <w:pPr>
        <w:pStyle w:val="ListBullet"/>
      </w:pPr>
      <w:r w:rsidRPr="00C61C80">
        <w:t>assessors must demonstrate the perf</w:t>
      </w:r>
      <w:r w:rsidRPr="00C61C80">
        <w:t>ormance evidence, and knowledge evidence as outlined in this Unit of Competency, and through the minimum years of current* work experience specified below in an Industry sector relevant to the outcomes of the unit; or,</w:t>
      </w:r>
    </w:p>
    <w:p w:rsidR="00000000" w:rsidRPr="00C61C80" w:rsidP="00C61C80">
      <w:pPr>
        <w:pStyle w:val="ListBullet"/>
      </w:pPr>
      <w:r w:rsidRPr="00C61C80">
        <w:t>where the assessor does not meet expe</w:t>
      </w:r>
      <w:r w:rsidRPr="00C61C80">
        <w:t>rience requirements a co-assessment or partnership arrangement must exist between the qualified assessor and an Industry subject matter expert. The Industry subject matter expert should hold the unit being assessed (or an equivalent unit) and/or demonstrat</w:t>
      </w:r>
      <w:r w:rsidRPr="00C61C80">
        <w:t>e equivalence of skills and knowledge at the unit level. An Industry technical expert must also demonstrate skills and knowledge from the minimum years of current work experience specified below in the Industry sector, including time spent in roles related</w:t>
      </w:r>
      <w:r w:rsidRPr="00C61C80">
        <w:t xml:space="preserve"> to the unit being assessed; and,</w:t>
      </w:r>
    </w:p>
    <w:p w:rsidR="00000000" w:rsidRPr="00C61C80" w:rsidP="00C61C80">
      <w:pPr>
        <w:pStyle w:val="ListBullet"/>
      </w:pPr>
      <w:r w:rsidRPr="00C61C8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1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SubHeading1"/>
              <w:rPr>
                <w:lang w:val="en-NZ"/>
              </w:rPr>
            </w:pPr>
            <w:r w:rsidRPr="00C61C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SubHeading1"/>
              <w:rPr>
                <w:lang w:val="en-NZ"/>
              </w:rPr>
            </w:pPr>
            <w:r w:rsidRPr="00C61C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SubHeading1"/>
              <w:rPr>
                <w:lang w:val="en-NZ"/>
              </w:rPr>
            </w:pPr>
            <w:r w:rsidRPr="00C61C80">
              <w:t>Required assessor or Industry subject matter expert experience</w:t>
            </w:r>
          </w:p>
        </w:tc>
      </w:tr>
      <w:tr w:rsidTr="00C61C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1 Year</w:t>
            </w:r>
          </w:p>
        </w:tc>
      </w:tr>
      <w:tr w:rsidTr="00C61C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2 Years</w:t>
            </w:r>
          </w:p>
        </w:tc>
      </w:tr>
      <w:tr w:rsidTr="00C61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3 Years</w:t>
            </w:r>
          </w:p>
        </w:tc>
      </w:tr>
      <w:tr w:rsidTr="00C61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5 Years</w:t>
            </w:r>
          </w:p>
        </w:tc>
      </w:tr>
      <w:tr w:rsidTr="00C61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C80">
            <w:pPr>
              <w:pStyle w:val="BodyText"/>
              <w:rPr>
                <w:lang w:val="en-NZ"/>
              </w:rPr>
            </w:pPr>
            <w:r w:rsidRPr="00C61C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1C80" w:rsidP="00C61C80">
            <w:pPr>
              <w:pStyle w:val="BodyText"/>
            </w:pPr>
            <w:r w:rsidRPr="00C61C80">
              <w:t>Where this Unit is being assessed outside of the Resources and Infrastructure Sectors assessor and/or Industry subject matter expert experience should be in-line with industry standards</w:t>
            </w:r>
            <w:r w:rsidRPr="00C61C80">
              <w:t xml:space="preserve"> for the sector in which it is being assessed and where no Industry standard is specified should comply with any relevant regulation.</w:t>
            </w:r>
          </w:p>
        </w:tc>
      </w:tr>
    </w:tbl>
    <w:p w:rsidR="00000000" w:rsidRPr="00C61C80" w:rsidP="0055021E">
      <w:pPr>
        <w:pStyle w:val="BodyText"/>
      </w:pPr>
      <w:r w:rsidRPr="00C61C80">
        <w:t>*Assessors can demonstrate current work experience through employment within Industry in a role relevant to the outcomes of the Unit; or, for external assessors this can be demonstrated through exposure to Industry by conducting frequent site assessments a</w:t>
      </w:r>
      <w:r w:rsidRPr="00C61C80">
        <w:t>cross various locations.</w:t>
      </w:r>
    </w:p>
    <w:p w:rsidR="0055021E" w:rsidP="0055021E">
      <w:pPr>
        <w:pStyle w:val="BodyText"/>
      </w:pPr>
      <w:r w:rsidRPr="00C61C80">
        <w:t>**Where a unit is being delivered outside of a Qualification the first numeric character in the Unit code should be considered to indicate the AQF level</w:t>
      </w:r>
    </w:p>
    <w:p w:rsidR="00000000" w:rsidRPr="00C61C80" w:rsidP="00C61C80">
      <w:pPr>
        <w:pStyle w:val="Heading1"/>
      </w:pPr>
      <w:bookmarkStart w:id="5" w:name="O_686387"/>
      <w:bookmarkEnd w:id="5"/>
      <w:r w:rsidRPr="00C61C80">
        <w:t>Links</w:t>
      </w:r>
    </w:p>
    <w:p w:rsidR="00000000" w:rsidRPr="00C61C80" w:rsidP="0055021E">
      <w:pPr>
        <w:pStyle w:val="BodyText"/>
      </w:pPr>
      <w:r w:rsidRPr="00C61C80">
        <w:t>Companion Volume implementation guides are found in VE</w:t>
      </w:r>
      <w:r w:rsidRPr="00C61C80">
        <w:t xml:space="preserve">TNet - </w:t>
      </w:r>
      <w:r>
        <w:fldChar w:fldCharType="begin"/>
      </w:r>
      <w:r>
        <w:instrText xml:space="preserve"> HYPERLINK "https://vetnet.gov.au/Pages/TrainingDocs.aspx?q=88a61002-9a21-4386-aaf8-69c76e675272" </w:instrText>
      </w:r>
      <w:r>
        <w:fldChar w:fldCharType="separate"/>
      </w:r>
      <w:r w:rsidRPr="00CC2CA2">
        <w:rPr>
          <w:rStyle w:val="Hyperlink"/>
        </w:rPr>
        <w:t>https://vetnet.gov.au/Pages/TrainingDocs.aspx?q=88a61002-9a21-4386-aaf8-69c76e675272</w:t>
      </w:r>
      <w:r>
        <w:fldChar w:fldCharType="end"/>
      </w:r>
    </w:p>
    <w:p w:rsidR="00000000" w:rsidRPr="00C61C80" w:rsidP="00C61C80"/>
    <w:sectPr w:rsidSect="00C61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80" w:rsidRPr="0055021E" w:rsidP="00550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E" w:rsidP="00C61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21E" w:rsidP="00C61C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5021E" w:rsidP="00C61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C80" w:rsidRPr="0055021E" w:rsidP="00550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E" w:rsidRPr="002D2AF8" w:rsidP="00C61C80">
    <w:pPr>
      <w:pStyle w:val="Header"/>
      <w:framePr w:wrap="around"/>
    </w:pPr>
    <w:r>
      <w:fldChar w:fldCharType="begin"/>
    </w:r>
    <w:r>
      <w:instrText xml:space="preserve"> TITLE   \* MERGEFORMAT </w:instrText>
    </w:r>
    <w:r>
      <w:fldChar w:fldCharType="separate"/>
    </w:r>
    <w:r>
      <w:t>Assessment Requirements for RIIRAI603D Establish and maintain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5021E" w:rsidP="00C61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C8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03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AC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C80"/>
    <w:pPr>
      <w:spacing w:before="360" w:after="60"/>
      <w:outlineLvl w:val="0"/>
    </w:pPr>
    <w:rPr>
      <w:sz w:val="32"/>
    </w:rPr>
  </w:style>
  <w:style w:type="paragraph" w:styleId="Heading2">
    <w:name w:val="heading 2"/>
    <w:basedOn w:val="HeadingBase"/>
    <w:next w:val="BodyText"/>
    <w:link w:val="Heading2Char"/>
    <w:qFormat/>
    <w:rsid w:val="00C61C80"/>
    <w:pPr>
      <w:keepLines/>
      <w:spacing w:before="240" w:after="120"/>
      <w:outlineLvl w:val="1"/>
    </w:pPr>
    <w:rPr>
      <w:sz w:val="28"/>
      <w:szCs w:val="40"/>
    </w:rPr>
  </w:style>
  <w:style w:type="paragraph" w:styleId="Heading3">
    <w:name w:val="heading 3"/>
    <w:basedOn w:val="HeadingBase"/>
    <w:next w:val="BodyText"/>
    <w:link w:val="Heading3Char"/>
    <w:qFormat/>
    <w:rsid w:val="00C61C80"/>
    <w:pPr>
      <w:spacing w:before="180" w:after="120"/>
      <w:outlineLvl w:val="2"/>
    </w:pPr>
    <w:rPr>
      <w:spacing w:val="-10"/>
      <w:kern w:val="32"/>
    </w:rPr>
  </w:style>
  <w:style w:type="paragraph" w:styleId="Heading4">
    <w:name w:val="heading 4"/>
    <w:basedOn w:val="HeadingBase"/>
    <w:next w:val="BodyText"/>
    <w:link w:val="Heading4Char"/>
    <w:qFormat/>
    <w:rsid w:val="00C61C80"/>
    <w:pPr>
      <w:spacing w:before="160" w:after="120"/>
      <w:outlineLvl w:val="3"/>
    </w:pPr>
    <w:rPr>
      <w:sz w:val="22"/>
    </w:rPr>
  </w:style>
  <w:style w:type="paragraph" w:styleId="Heading5">
    <w:name w:val="heading 5"/>
    <w:basedOn w:val="HeadingBase"/>
    <w:next w:val="Normal"/>
    <w:link w:val="Heading5Char"/>
    <w:qFormat/>
    <w:rsid w:val="00C61C80"/>
    <w:pPr>
      <w:spacing w:before="80"/>
      <w:outlineLvl w:val="4"/>
    </w:pPr>
    <w:rPr>
      <w:color w:val="918585"/>
      <w:sz w:val="20"/>
    </w:rPr>
  </w:style>
  <w:style w:type="paragraph" w:styleId="Heading6">
    <w:name w:val="heading 6"/>
    <w:basedOn w:val="HeadingBase"/>
    <w:next w:val="Normal"/>
    <w:link w:val="Heading6Char"/>
    <w:qFormat/>
    <w:rsid w:val="00C61C80"/>
    <w:pPr>
      <w:spacing w:before="60"/>
      <w:outlineLvl w:val="5"/>
    </w:pPr>
    <w:rPr>
      <w:color w:val="918585"/>
      <w:sz w:val="20"/>
    </w:rPr>
  </w:style>
  <w:style w:type="paragraph" w:styleId="Heading7">
    <w:name w:val="heading 7"/>
    <w:basedOn w:val="Normal"/>
    <w:next w:val="Normal"/>
    <w:link w:val="Heading7Char"/>
    <w:qFormat/>
    <w:rsid w:val="00C61C80"/>
    <w:pPr>
      <w:ind w:left="720"/>
      <w:outlineLvl w:val="6"/>
    </w:pPr>
    <w:rPr>
      <w:i/>
    </w:rPr>
  </w:style>
  <w:style w:type="paragraph" w:styleId="Heading8">
    <w:name w:val="heading 8"/>
    <w:basedOn w:val="Normal"/>
    <w:next w:val="Normal"/>
    <w:link w:val="Heading8Char"/>
    <w:qFormat/>
    <w:rsid w:val="00C61C80"/>
    <w:pPr>
      <w:ind w:left="720"/>
      <w:outlineLvl w:val="7"/>
    </w:pPr>
    <w:rPr>
      <w:i/>
    </w:rPr>
  </w:style>
  <w:style w:type="paragraph" w:styleId="Heading9">
    <w:name w:val="heading 9"/>
    <w:basedOn w:val="Normal"/>
    <w:next w:val="Normal"/>
    <w:link w:val="Heading9Char"/>
    <w:qFormat/>
    <w:rsid w:val="00C61C80"/>
    <w:pPr>
      <w:ind w:left="720"/>
      <w:outlineLvl w:val="8"/>
    </w:pPr>
    <w:rPr>
      <w:i/>
    </w:rPr>
  </w:style>
  <w:style w:type="character" w:default="1" w:styleId="DefaultParagraphFont">
    <w:name w:val="Default Paragraph Font"/>
    <w:uiPriority w:val="1"/>
    <w:unhideWhenUsed/>
    <w:rsid w:val="00C61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C80"/>
  </w:style>
  <w:style w:type="character" w:customStyle="1" w:styleId="Heading1Char">
    <w:name w:val="Heading 1 Char"/>
    <w:basedOn w:val="DefaultParagraphFont"/>
    <w:link w:val="Heading1"/>
    <w:rsid w:val="00C61C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1C80"/>
    <w:rPr>
      <w:rFonts w:ascii="Times New Roman" w:eastAsia="Times New Roman" w:hAnsi="Times New Roman" w:cs="Times New Roman"/>
      <w:b/>
      <w:szCs w:val="20"/>
      <w:lang w:eastAsia="en-US"/>
    </w:rPr>
  </w:style>
  <w:style w:type="paragraph" w:styleId="BodyText">
    <w:name w:val="Body Text"/>
    <w:basedOn w:val="Normal"/>
    <w:link w:val="BodyTextChar"/>
    <w:rsid w:val="00C61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C80"/>
    <w:rPr>
      <w:rFonts w:ascii="Times New Roman" w:eastAsia="Times New Roman" w:hAnsi="Times New Roman" w:cs="Times New Roman"/>
      <w:sz w:val="24"/>
      <w:lang w:eastAsia="en-US"/>
    </w:rPr>
  </w:style>
  <w:style w:type="paragraph" w:styleId="ListBullet">
    <w:name w:val="List Bullet"/>
    <w:basedOn w:val="List"/>
    <w:rsid w:val="00C61C80"/>
    <w:pPr>
      <w:numPr>
        <w:numId w:val="13"/>
      </w:numPr>
      <w:tabs>
        <w:tab w:val="clear" w:pos="340"/>
      </w:tabs>
      <w:spacing w:before="40" w:after="40"/>
    </w:pPr>
  </w:style>
  <w:style w:type="paragraph" w:styleId="ListBullet2">
    <w:name w:val="List Bullet 2"/>
    <w:basedOn w:val="List2"/>
    <w:rsid w:val="00C61C80"/>
    <w:pPr>
      <w:numPr>
        <w:numId w:val="14"/>
      </w:numPr>
      <w:tabs>
        <w:tab w:val="clear" w:pos="680"/>
      </w:tabs>
    </w:pPr>
  </w:style>
  <w:style w:type="paragraph" w:customStyle="1" w:styleId="SuperHeading">
    <w:name w:val="SuperHeading"/>
    <w:basedOn w:val="Normal"/>
    <w:rsid w:val="00C61C80"/>
    <w:pPr>
      <w:spacing w:before="240" w:after="120"/>
      <w:outlineLvl w:val="0"/>
    </w:pPr>
    <w:rPr>
      <w:rFonts w:ascii="Times New Roman" w:hAnsi="Times New Roman"/>
      <w:b/>
      <w:sz w:val="32"/>
    </w:rPr>
  </w:style>
  <w:style w:type="paragraph" w:customStyle="1" w:styleId="AllowPageBreak">
    <w:name w:val="AllowPageBreak"/>
    <w:rsid w:val="00C61C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61C80"/>
    <w:pPr>
      <w:spacing w:before="240" w:after="60"/>
    </w:pPr>
    <w:rPr>
      <w:color w:val="918585"/>
      <w:sz w:val="22"/>
    </w:rPr>
  </w:style>
  <w:style w:type="paragraph" w:styleId="ListBullet3">
    <w:name w:val="List Bullet 3"/>
    <w:basedOn w:val="List3"/>
    <w:rsid w:val="00C61C80"/>
    <w:pPr>
      <w:numPr>
        <w:numId w:val="3"/>
      </w:numPr>
      <w:tabs>
        <w:tab w:val="clear" w:pos="1021"/>
      </w:tabs>
      <w:ind w:left="1037" w:hanging="357"/>
    </w:pPr>
  </w:style>
  <w:style w:type="character" w:customStyle="1" w:styleId="Heading2Char">
    <w:name w:val="Heading 2 Char"/>
    <w:basedOn w:val="DefaultParagraphFont"/>
    <w:link w:val="Heading2"/>
    <w:rsid w:val="00C61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C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1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C80"/>
    <w:rPr>
      <w:rFonts w:ascii="Courier New" w:eastAsia="Times New Roman" w:hAnsi="Courier New" w:cs="Times New Roman"/>
      <w:i/>
      <w:szCs w:val="20"/>
      <w:lang w:eastAsia="en-US"/>
    </w:rPr>
  </w:style>
  <w:style w:type="paragraph" w:customStyle="1" w:styleId="HeadingBase">
    <w:name w:val="Heading Base"/>
    <w:rsid w:val="00C61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C80"/>
    <w:pPr>
      <w:tabs>
        <w:tab w:val="right" w:leader="dot" w:pos="9072"/>
      </w:tabs>
      <w:ind w:left="567"/>
    </w:pPr>
    <w:rPr>
      <w:szCs w:val="22"/>
    </w:rPr>
  </w:style>
  <w:style w:type="paragraph" w:customStyle="1" w:styleId="TOCBase">
    <w:name w:val="TOC Base"/>
    <w:rsid w:val="00C61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C80"/>
    <w:pPr>
      <w:tabs>
        <w:tab w:val="right" w:leader="dot" w:pos="9072"/>
      </w:tabs>
      <w:spacing w:before="40" w:after="40"/>
      <w:ind w:left="284"/>
    </w:pPr>
    <w:rPr>
      <w:rFonts w:ascii="Times New Roman" w:hAnsi="Times New Roman"/>
    </w:rPr>
  </w:style>
  <w:style w:type="paragraph" w:styleId="TOC1">
    <w:name w:val="toc 1"/>
    <w:basedOn w:val="TOCBase"/>
    <w:next w:val="Normal"/>
    <w:rsid w:val="00C61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C80"/>
    <w:rPr>
      <w:rFonts w:ascii="Times New Roman" w:eastAsia="Times New Roman" w:hAnsi="Times New Roman" w:cs="Times New Roman"/>
      <w:sz w:val="16"/>
      <w:lang w:eastAsia="en-US"/>
    </w:rPr>
  </w:style>
  <w:style w:type="paragraph" w:styleId="Title">
    <w:name w:val="Title"/>
    <w:basedOn w:val="HeadingBase"/>
    <w:link w:val="TitleChar"/>
    <w:qFormat/>
    <w:rsid w:val="00C61C80"/>
    <w:pPr>
      <w:spacing w:before="5040"/>
      <w:jc w:val="center"/>
    </w:pPr>
    <w:rPr>
      <w:sz w:val="48"/>
      <w:szCs w:val="72"/>
      <w:lang w:val="en-US"/>
    </w:rPr>
  </w:style>
  <w:style w:type="character" w:customStyle="1" w:styleId="TitleChar">
    <w:name w:val="Title Char"/>
    <w:basedOn w:val="DefaultParagraphFont"/>
    <w:link w:val="Title"/>
    <w:rsid w:val="00C61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C80"/>
    <w:pPr>
      <w:tabs>
        <w:tab w:val="left" w:pos="3600"/>
        <w:tab w:val="left" w:pos="3958"/>
      </w:tabs>
    </w:pPr>
  </w:style>
  <w:style w:type="paragraph" w:styleId="List">
    <w:name w:val="List"/>
    <w:basedOn w:val="BodyText"/>
    <w:next w:val="BodyText"/>
    <w:rsid w:val="00C61C80"/>
    <w:pPr>
      <w:tabs>
        <w:tab w:val="left" w:pos="340"/>
      </w:tabs>
      <w:spacing w:before="60" w:after="60"/>
      <w:ind w:left="340" w:hanging="340"/>
    </w:pPr>
  </w:style>
  <w:style w:type="paragraph" w:customStyle="1" w:styleId="Note">
    <w:name w:val="Note"/>
    <w:basedOn w:val="BodyText"/>
    <w:rsid w:val="00C61C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C80"/>
    <w:rPr>
      <w:b/>
      <w:spacing w:val="0"/>
    </w:rPr>
  </w:style>
  <w:style w:type="paragraph" w:customStyle="1" w:styleId="SuperTitle">
    <w:name w:val="SuperTitle"/>
    <w:basedOn w:val="Title"/>
    <w:rsid w:val="00C61C80"/>
    <w:pPr>
      <w:framePr w:wrap="auto" w:hAnchor="text" w:y="6049"/>
    </w:pPr>
    <w:rPr>
      <w:color w:val="000000"/>
      <w:sz w:val="40"/>
    </w:rPr>
  </w:style>
  <w:style w:type="paragraph" w:customStyle="1" w:styleId="TOCTitle">
    <w:name w:val="TOCTitle"/>
    <w:basedOn w:val="Heading1"/>
    <w:rsid w:val="00C61C80"/>
    <w:pPr>
      <w:spacing w:after="240"/>
      <w:jc w:val="center"/>
      <w:outlineLvl w:val="9"/>
    </w:pPr>
    <w:rPr>
      <w:caps/>
    </w:rPr>
  </w:style>
  <w:style w:type="paragraph" w:customStyle="1" w:styleId="Version">
    <w:name w:val="Version"/>
    <w:rsid w:val="00C61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C80"/>
    <w:pPr>
      <w:keepNext w:val="0"/>
      <w:tabs>
        <w:tab w:val="right" w:pos="4176"/>
      </w:tabs>
      <w:ind w:left="198" w:hanging="198"/>
    </w:pPr>
    <w:rPr>
      <w:rFonts w:ascii="Garamond" w:hAnsi="Garamond"/>
    </w:rPr>
  </w:style>
  <w:style w:type="paragraph" w:styleId="IndexHeading">
    <w:name w:val="index heading"/>
    <w:basedOn w:val="Normal"/>
    <w:next w:val="Index1"/>
    <w:semiHidden/>
    <w:rsid w:val="00C61C80"/>
    <w:pPr>
      <w:spacing w:before="120" w:after="120"/>
    </w:pPr>
    <w:rPr>
      <w:rFonts w:ascii="Arial" w:hAnsi="Arial"/>
      <w:b/>
      <w:color w:val="918585"/>
      <w:sz w:val="24"/>
    </w:rPr>
  </w:style>
  <w:style w:type="paragraph" w:styleId="Header">
    <w:name w:val="header"/>
    <w:basedOn w:val="Normal"/>
    <w:link w:val="HeaderChar"/>
    <w:rsid w:val="00C61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C80"/>
    <w:rPr>
      <w:rFonts w:ascii="Times New Roman" w:eastAsia="Times New Roman" w:hAnsi="Times New Roman" w:cs="Times New Roman"/>
      <w:sz w:val="16"/>
      <w:szCs w:val="20"/>
      <w:lang w:val="en-GB" w:eastAsia="en-US"/>
    </w:rPr>
  </w:style>
  <w:style w:type="paragraph" w:customStyle="1" w:styleId="Chapter">
    <w:name w:val="Chapter"/>
    <w:basedOn w:val="Normal"/>
    <w:rsid w:val="00C61C80"/>
    <w:pPr>
      <w:spacing w:before="240"/>
    </w:pPr>
    <w:rPr>
      <w:rFonts w:ascii="Times New Roman" w:hAnsi="Times New Roman"/>
      <w:smallCaps/>
      <w:spacing w:val="80"/>
      <w:sz w:val="28"/>
    </w:rPr>
  </w:style>
  <w:style w:type="paragraph" w:customStyle="1" w:styleId="InChapter">
    <w:name w:val="InChapter"/>
    <w:basedOn w:val="Heading3"/>
    <w:rsid w:val="00C61C80"/>
    <w:pPr>
      <w:spacing w:after="240"/>
      <w:outlineLvl w:val="9"/>
    </w:pPr>
    <w:rPr>
      <w:noProof/>
    </w:rPr>
  </w:style>
  <w:style w:type="paragraph" w:styleId="Index2">
    <w:name w:val="index 2"/>
    <w:basedOn w:val="Normal"/>
    <w:next w:val="Normal"/>
    <w:semiHidden/>
    <w:rsid w:val="00C61C80"/>
    <w:pPr>
      <w:tabs>
        <w:tab w:val="right" w:pos="4176"/>
      </w:tabs>
      <w:ind w:left="568" w:hanging="284"/>
    </w:pPr>
    <w:rPr>
      <w:rFonts w:ascii="Garamond" w:hAnsi="Garamond"/>
    </w:rPr>
  </w:style>
  <w:style w:type="paragraph" w:customStyle="1" w:styleId="Byline">
    <w:name w:val="Byline"/>
    <w:rsid w:val="00C61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C80"/>
    <w:pPr>
      <w:tabs>
        <w:tab w:val="clear" w:pos="3600"/>
        <w:tab w:val="clear" w:pos="3958"/>
      </w:tabs>
      <w:jc w:val="right"/>
    </w:pPr>
  </w:style>
  <w:style w:type="character" w:styleId="Emphasis">
    <w:name w:val="Emphasis"/>
    <w:basedOn w:val="DefaultParagraphFont"/>
    <w:qFormat/>
    <w:rsid w:val="00C61C80"/>
    <w:rPr>
      <w:i/>
    </w:rPr>
  </w:style>
  <w:style w:type="paragraph" w:styleId="Caption">
    <w:name w:val="caption"/>
    <w:basedOn w:val="BodyText"/>
    <w:next w:val="Normal"/>
    <w:qFormat/>
    <w:rsid w:val="00C61C80"/>
    <w:pPr>
      <w:framePr w:w="2268" w:hSpace="181" w:vSpace="181" w:wrap="around" w:vAnchor="text" w:hAnchor="page" w:x="1135" w:y="285" w:anchorLock="1"/>
    </w:pPr>
    <w:rPr>
      <w:i/>
    </w:rPr>
  </w:style>
  <w:style w:type="paragraph" w:customStyle="1" w:styleId="MiniTOCTitle">
    <w:name w:val="MiniTOCTitle"/>
    <w:basedOn w:val="Heading4"/>
    <w:rsid w:val="00C61C80"/>
    <w:pPr>
      <w:spacing w:before="240"/>
      <w:outlineLvl w:val="9"/>
    </w:pPr>
    <w:rPr>
      <w:noProof/>
      <w:sz w:val="24"/>
    </w:rPr>
  </w:style>
  <w:style w:type="paragraph" w:customStyle="1" w:styleId="MiniTOCItem">
    <w:name w:val="MiniTOCItem"/>
    <w:basedOn w:val="ListBullet"/>
    <w:rsid w:val="00C61C80"/>
    <w:pPr>
      <w:numPr>
        <w:numId w:val="0"/>
      </w:numPr>
      <w:tabs>
        <w:tab w:val="right" w:leader="dot" w:pos="6521"/>
      </w:tabs>
      <w:spacing w:before="0" w:after="0"/>
    </w:pPr>
  </w:style>
  <w:style w:type="paragraph" w:customStyle="1" w:styleId="TOFTitle">
    <w:name w:val="TOFTitle"/>
    <w:basedOn w:val="TOCTitle"/>
    <w:rsid w:val="00C61C80"/>
  </w:style>
  <w:style w:type="paragraph" w:styleId="TableofFigures">
    <w:name w:val="table of figures"/>
    <w:basedOn w:val="Normal"/>
    <w:next w:val="Normal"/>
    <w:semiHidden/>
    <w:rsid w:val="00C61C80"/>
    <w:pPr>
      <w:tabs>
        <w:tab w:val="right" w:leader="dot" w:pos="9072"/>
      </w:tabs>
      <w:ind w:left="970" w:hanging="403"/>
    </w:pPr>
    <w:rPr>
      <w:rFonts w:ascii="Times New Roman" w:hAnsi="Times New Roman"/>
      <w:b/>
    </w:rPr>
  </w:style>
  <w:style w:type="paragraph" w:styleId="ListNumber">
    <w:name w:val="List Number"/>
    <w:basedOn w:val="List"/>
    <w:rsid w:val="00C61C80"/>
    <w:pPr>
      <w:numPr>
        <w:numId w:val="16"/>
      </w:numPr>
      <w:tabs>
        <w:tab w:val="clear" w:pos="340"/>
      </w:tabs>
    </w:pPr>
  </w:style>
  <w:style w:type="character" w:customStyle="1" w:styleId="WingdingSymbols">
    <w:name w:val="Wingding Symbols"/>
    <w:rsid w:val="00C61C80"/>
    <w:rPr>
      <w:rFonts w:ascii="Wingdings" w:hAnsi="Wingdings"/>
    </w:rPr>
  </w:style>
  <w:style w:type="paragraph" w:customStyle="1" w:styleId="TableHeading">
    <w:name w:val="Table Heading"/>
    <w:basedOn w:val="HeadingBase"/>
    <w:rsid w:val="00C61C80"/>
    <w:pPr>
      <w:keepLines/>
      <w:pBdr>
        <w:bottom w:val="single" w:sz="6" w:space="1" w:color="918585"/>
      </w:pBdr>
      <w:spacing w:before="240"/>
    </w:pPr>
  </w:style>
  <w:style w:type="character" w:customStyle="1" w:styleId="HotSpot">
    <w:name w:val="HotSpot"/>
    <w:rsid w:val="00C61C80"/>
    <w:rPr>
      <w:color w:val="0033CC"/>
      <w:u w:val="none"/>
    </w:rPr>
  </w:style>
  <w:style w:type="paragraph" w:customStyle="1" w:styleId="BodyTextRight">
    <w:name w:val="Body Text Right"/>
    <w:basedOn w:val="BodyText"/>
    <w:rsid w:val="00C61C80"/>
    <w:pPr>
      <w:spacing w:before="0" w:after="0"/>
      <w:jc w:val="right"/>
    </w:pPr>
  </w:style>
  <w:style w:type="paragraph" w:styleId="Index3">
    <w:name w:val="index 3"/>
    <w:basedOn w:val="ListNumber2"/>
    <w:next w:val="Normal"/>
    <w:semiHidden/>
    <w:rsid w:val="00C61C80"/>
    <w:pPr>
      <w:numPr>
        <w:numId w:val="0"/>
      </w:numPr>
      <w:tabs>
        <w:tab w:val="right" w:leader="dot" w:pos="4176"/>
      </w:tabs>
    </w:pPr>
  </w:style>
  <w:style w:type="paragraph" w:styleId="ListNumber2">
    <w:name w:val="List Number 2"/>
    <w:basedOn w:val="List2"/>
    <w:rsid w:val="00C61C80"/>
    <w:pPr>
      <w:numPr>
        <w:numId w:val="11"/>
      </w:numPr>
      <w:tabs>
        <w:tab w:val="clear" w:pos="1060"/>
      </w:tabs>
    </w:pPr>
  </w:style>
  <w:style w:type="paragraph" w:customStyle="1" w:styleId="MarginNote">
    <w:name w:val="Margin Note"/>
    <w:basedOn w:val="BodyText"/>
    <w:rsid w:val="00C61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C80"/>
    <w:rPr>
      <w:sz w:val="32"/>
    </w:rPr>
  </w:style>
  <w:style w:type="paragraph" w:customStyle="1" w:styleId="HeadingProcedure">
    <w:name w:val="Heading Procedure"/>
    <w:basedOn w:val="HeadingBase"/>
    <w:next w:val="Normal"/>
    <w:rsid w:val="00C61C80"/>
    <w:pPr>
      <w:tabs>
        <w:tab w:val="left" w:pos="0"/>
      </w:tabs>
      <w:spacing w:before="120" w:after="60"/>
    </w:pPr>
    <w:rPr>
      <w:i/>
      <w:color w:val="918585"/>
      <w:sz w:val="22"/>
    </w:rPr>
  </w:style>
  <w:style w:type="paragraph" w:customStyle="1" w:styleId="TableBodyText">
    <w:name w:val="Table Body Text"/>
    <w:basedOn w:val="BodyText"/>
    <w:rsid w:val="00C61C80"/>
    <w:pPr>
      <w:spacing w:before="60" w:after="60"/>
    </w:pPr>
  </w:style>
  <w:style w:type="paragraph" w:styleId="ListContinue">
    <w:name w:val="List Continue"/>
    <w:basedOn w:val="List"/>
    <w:rsid w:val="00C61C80"/>
    <w:pPr>
      <w:ind w:firstLine="0"/>
    </w:pPr>
  </w:style>
  <w:style w:type="paragraph" w:customStyle="1" w:styleId="ListNote">
    <w:name w:val="List Note"/>
    <w:basedOn w:val="List"/>
    <w:rsid w:val="00C61C80"/>
    <w:pPr>
      <w:pBdr>
        <w:top w:val="single" w:sz="6" w:space="2" w:color="918585"/>
        <w:bottom w:val="single" w:sz="6" w:space="2" w:color="918585"/>
      </w:pBdr>
      <w:tabs>
        <w:tab w:val="left" w:pos="1021"/>
      </w:tabs>
      <w:ind w:firstLine="0"/>
    </w:pPr>
  </w:style>
  <w:style w:type="paragraph" w:customStyle="1" w:styleId="Warning">
    <w:name w:val="Warning"/>
    <w:basedOn w:val="BodyText"/>
    <w:rsid w:val="00C61C80"/>
    <w:pPr>
      <w:shd w:val="clear" w:color="auto" w:fill="D9D9D9"/>
      <w:tabs>
        <w:tab w:val="left" w:pos="992"/>
      </w:tabs>
      <w:ind w:left="119" w:right="119"/>
    </w:pPr>
    <w:rPr>
      <w:sz w:val="20"/>
    </w:rPr>
  </w:style>
  <w:style w:type="paragraph" w:customStyle="1" w:styleId="MarginIcons">
    <w:name w:val="Margin Icons"/>
    <w:basedOn w:val="BodyText"/>
    <w:rsid w:val="00C61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C80"/>
    <w:rPr>
      <w:rFonts w:ascii="Courier New" w:hAnsi="Courier New"/>
    </w:rPr>
  </w:style>
  <w:style w:type="paragraph" w:customStyle="1" w:styleId="NoteBullet">
    <w:name w:val="Note Bullet"/>
    <w:basedOn w:val="Note"/>
    <w:rsid w:val="00C61C80"/>
    <w:pPr>
      <w:tabs>
        <w:tab w:val="clear" w:pos="680"/>
      </w:tabs>
      <w:spacing w:before="60" w:after="60"/>
    </w:pPr>
  </w:style>
  <w:style w:type="paragraph" w:customStyle="1" w:styleId="SubHeading2">
    <w:name w:val="SubHeading2"/>
    <w:basedOn w:val="HeadingBase"/>
    <w:rsid w:val="00C61C80"/>
    <w:pPr>
      <w:spacing w:before="240" w:after="60"/>
    </w:pPr>
    <w:rPr>
      <w:sz w:val="20"/>
    </w:rPr>
  </w:style>
  <w:style w:type="paragraph" w:customStyle="1" w:styleId="SideHeading">
    <w:name w:val="Side Heading"/>
    <w:basedOn w:val="HeadingBase"/>
    <w:rsid w:val="00C61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C80"/>
    <w:pPr>
      <w:numPr>
        <w:numId w:val="12"/>
      </w:numPr>
    </w:pPr>
  </w:style>
  <w:style w:type="paragraph" w:styleId="PlainText">
    <w:name w:val="Plain Text"/>
    <w:basedOn w:val="Normal"/>
    <w:link w:val="PlainTextChar"/>
    <w:rsid w:val="00C61C80"/>
    <w:rPr>
      <w:sz w:val="20"/>
    </w:rPr>
  </w:style>
  <w:style w:type="character" w:customStyle="1" w:styleId="PlainTextChar">
    <w:name w:val="Plain Text Char"/>
    <w:basedOn w:val="DefaultParagraphFont"/>
    <w:link w:val="PlainText"/>
    <w:rsid w:val="00C61C80"/>
    <w:rPr>
      <w:rFonts w:ascii="Courier New" w:eastAsia="Times New Roman" w:hAnsi="Courier New" w:cs="Times New Roman"/>
      <w:sz w:val="20"/>
      <w:szCs w:val="20"/>
      <w:lang w:eastAsia="en-US"/>
    </w:rPr>
  </w:style>
  <w:style w:type="character" w:customStyle="1" w:styleId="MenuOption">
    <w:name w:val="Menu Option"/>
    <w:basedOn w:val="DefaultParagraphFont"/>
    <w:rsid w:val="00C61C80"/>
    <w:rPr>
      <w:b/>
      <w:smallCaps/>
    </w:rPr>
  </w:style>
  <w:style w:type="paragraph" w:customStyle="1" w:styleId="TableListNumber">
    <w:name w:val="Table List Number"/>
    <w:basedOn w:val="ListNumber"/>
    <w:rsid w:val="00C61C80"/>
    <w:pPr>
      <w:numPr>
        <w:numId w:val="0"/>
      </w:numPr>
    </w:pPr>
  </w:style>
  <w:style w:type="paragraph" w:styleId="TOC4">
    <w:name w:val="toc 4"/>
    <w:basedOn w:val="TOCBase"/>
    <w:next w:val="Normal"/>
    <w:semiHidden/>
    <w:rsid w:val="00C61C80"/>
    <w:pPr>
      <w:tabs>
        <w:tab w:val="right" w:leader="dot" w:pos="9071"/>
      </w:tabs>
      <w:ind w:left="1701"/>
    </w:pPr>
  </w:style>
  <w:style w:type="paragraph" w:customStyle="1" w:styleId="ListAlpha">
    <w:name w:val="List Alpha"/>
    <w:basedOn w:val="List"/>
    <w:rsid w:val="00C61C80"/>
    <w:pPr>
      <w:numPr>
        <w:numId w:val="10"/>
      </w:numPr>
    </w:pPr>
  </w:style>
  <w:style w:type="paragraph" w:customStyle="1" w:styleId="ListAlpha2">
    <w:name w:val="List Alpha 2"/>
    <w:basedOn w:val="List2"/>
    <w:rsid w:val="00C61C80"/>
    <w:pPr>
      <w:numPr>
        <w:numId w:val="9"/>
      </w:numPr>
    </w:pPr>
  </w:style>
  <w:style w:type="paragraph" w:styleId="List2">
    <w:name w:val="List 2"/>
    <w:basedOn w:val="BodyText"/>
    <w:rsid w:val="00C61C80"/>
    <w:pPr>
      <w:tabs>
        <w:tab w:val="left" w:pos="680"/>
      </w:tabs>
      <w:spacing w:before="60" w:after="60"/>
      <w:ind w:left="680" w:hanging="340"/>
    </w:pPr>
  </w:style>
  <w:style w:type="paragraph" w:styleId="List3">
    <w:name w:val="List 3"/>
    <w:basedOn w:val="BodyText"/>
    <w:rsid w:val="00C61C80"/>
    <w:pPr>
      <w:tabs>
        <w:tab w:val="left" w:pos="1021"/>
      </w:tabs>
      <w:spacing w:before="60" w:after="60"/>
      <w:ind w:left="1020" w:hanging="340"/>
    </w:pPr>
  </w:style>
  <w:style w:type="paragraph" w:styleId="List4">
    <w:name w:val="List 4"/>
    <w:basedOn w:val="BodyText"/>
    <w:rsid w:val="00C61C80"/>
    <w:pPr>
      <w:tabs>
        <w:tab w:val="left" w:pos="1361"/>
      </w:tabs>
      <w:spacing w:before="60" w:after="60"/>
      <w:ind w:left="1361" w:hanging="340"/>
    </w:pPr>
  </w:style>
  <w:style w:type="paragraph" w:styleId="List5">
    <w:name w:val="List 5"/>
    <w:basedOn w:val="BodyText"/>
    <w:rsid w:val="00C61C80"/>
    <w:pPr>
      <w:tabs>
        <w:tab w:val="left" w:pos="1701"/>
      </w:tabs>
      <w:spacing w:before="60" w:after="60"/>
      <w:ind w:left="1701" w:hanging="340"/>
    </w:pPr>
  </w:style>
  <w:style w:type="paragraph" w:styleId="ListBullet4">
    <w:name w:val="List Bullet 4"/>
    <w:basedOn w:val="List4"/>
    <w:rsid w:val="00C61C80"/>
    <w:pPr>
      <w:numPr>
        <w:numId w:val="4"/>
      </w:numPr>
      <w:tabs>
        <w:tab w:val="clear" w:pos="1361"/>
      </w:tabs>
    </w:pPr>
  </w:style>
  <w:style w:type="paragraph" w:styleId="ListBullet5">
    <w:name w:val="List Bullet 5"/>
    <w:basedOn w:val="List5"/>
    <w:rsid w:val="00C61C80"/>
    <w:pPr>
      <w:numPr>
        <w:numId w:val="5"/>
      </w:numPr>
    </w:pPr>
  </w:style>
  <w:style w:type="paragraph" w:styleId="ListContinue2">
    <w:name w:val="List Continue 2"/>
    <w:basedOn w:val="List2"/>
    <w:rsid w:val="00C61C80"/>
    <w:pPr>
      <w:ind w:firstLine="0"/>
    </w:pPr>
  </w:style>
  <w:style w:type="paragraph" w:styleId="ListContinue3">
    <w:name w:val="List Continue 3"/>
    <w:basedOn w:val="List3"/>
    <w:rsid w:val="00C61C80"/>
    <w:pPr>
      <w:ind w:left="1021" w:firstLine="0"/>
    </w:pPr>
  </w:style>
  <w:style w:type="paragraph" w:styleId="ListContinue4">
    <w:name w:val="List Continue 4"/>
    <w:basedOn w:val="List4"/>
    <w:rsid w:val="00C61C80"/>
    <w:pPr>
      <w:ind w:firstLine="0"/>
    </w:pPr>
  </w:style>
  <w:style w:type="paragraph" w:styleId="ListContinue5">
    <w:name w:val="List Continue 5"/>
    <w:basedOn w:val="List5"/>
    <w:rsid w:val="00C61C80"/>
    <w:pPr>
      <w:ind w:firstLine="0"/>
    </w:pPr>
  </w:style>
  <w:style w:type="paragraph" w:styleId="ListNumber3">
    <w:name w:val="List Number 3"/>
    <w:basedOn w:val="List3"/>
    <w:rsid w:val="00C61C80"/>
    <w:pPr>
      <w:numPr>
        <w:numId w:val="6"/>
      </w:numPr>
    </w:pPr>
  </w:style>
  <w:style w:type="paragraph" w:styleId="ListNumber4">
    <w:name w:val="List Number 4"/>
    <w:basedOn w:val="List4"/>
    <w:rsid w:val="00C61C80"/>
    <w:pPr>
      <w:numPr>
        <w:numId w:val="7"/>
      </w:numPr>
    </w:pPr>
  </w:style>
  <w:style w:type="paragraph" w:styleId="ListNumber5">
    <w:name w:val="List Number 5"/>
    <w:basedOn w:val="List5"/>
    <w:rsid w:val="00C61C80"/>
    <w:pPr>
      <w:numPr>
        <w:numId w:val="8"/>
      </w:numPr>
    </w:pPr>
  </w:style>
  <w:style w:type="paragraph" w:styleId="BlockText">
    <w:name w:val="Block Text"/>
    <w:basedOn w:val="Normal"/>
    <w:rsid w:val="00C61C80"/>
    <w:pPr>
      <w:spacing w:after="120"/>
      <w:ind w:left="1440" w:right="1440"/>
    </w:pPr>
  </w:style>
  <w:style w:type="character" w:customStyle="1" w:styleId="Subscript">
    <w:name w:val="Subscript"/>
    <w:basedOn w:val="DefaultParagraphFont"/>
    <w:rsid w:val="00C61C80"/>
    <w:rPr>
      <w:sz w:val="16"/>
      <w:vertAlign w:val="subscript"/>
    </w:rPr>
  </w:style>
  <w:style w:type="character" w:customStyle="1" w:styleId="Superscript">
    <w:name w:val="Superscript"/>
    <w:basedOn w:val="DefaultParagraphFont"/>
    <w:rsid w:val="00C61C80"/>
    <w:rPr>
      <w:sz w:val="16"/>
      <w:vertAlign w:val="superscript"/>
    </w:rPr>
  </w:style>
  <w:style w:type="character" w:customStyle="1" w:styleId="Symbols">
    <w:name w:val="Symbols"/>
    <w:basedOn w:val="DefaultParagraphFont"/>
    <w:rsid w:val="00C61C80"/>
    <w:rPr>
      <w:rFonts w:ascii="Symbol" w:hAnsi="Symbol"/>
    </w:rPr>
  </w:style>
  <w:style w:type="character" w:customStyle="1" w:styleId="MenuOptions">
    <w:name w:val="Menu Options"/>
    <w:basedOn w:val="DefaultParagraphFont"/>
    <w:rsid w:val="00C61C80"/>
    <w:rPr>
      <w:rFonts w:ascii="Arial Narrow" w:hAnsi="Arial Narrow"/>
      <w:smallCaps/>
    </w:rPr>
  </w:style>
  <w:style w:type="character" w:customStyle="1" w:styleId="Buttons">
    <w:name w:val="Buttons"/>
    <w:basedOn w:val="DefaultParagraphFont"/>
    <w:rsid w:val="00C61C80"/>
    <w:rPr>
      <w:b/>
    </w:rPr>
  </w:style>
  <w:style w:type="character" w:customStyle="1" w:styleId="Underlined">
    <w:name w:val="Underlined"/>
    <w:basedOn w:val="DefaultParagraphFont"/>
    <w:rsid w:val="00C61C80"/>
    <w:rPr>
      <w:u w:val="single"/>
    </w:rPr>
  </w:style>
  <w:style w:type="paragraph" w:customStyle="1" w:styleId="TableBodyTextRight">
    <w:name w:val="Table Body Text Right"/>
    <w:basedOn w:val="TableBodyText"/>
    <w:rsid w:val="00C61C80"/>
    <w:pPr>
      <w:widowControl w:val="0"/>
      <w:autoSpaceDE w:val="0"/>
      <w:autoSpaceDN w:val="0"/>
      <w:adjustRightInd w:val="0"/>
      <w:jc w:val="right"/>
    </w:pPr>
    <w:rPr>
      <w:rFonts w:cs="Arial"/>
      <w:szCs w:val="18"/>
    </w:rPr>
  </w:style>
  <w:style w:type="paragraph" w:customStyle="1" w:styleId="CopyrightText">
    <w:name w:val="Copyright Text"/>
    <w:basedOn w:val="BodyText"/>
    <w:rsid w:val="00C61C80"/>
    <w:rPr>
      <w:sz w:val="18"/>
    </w:rPr>
  </w:style>
  <w:style w:type="paragraph" w:customStyle="1" w:styleId="BodySmallRight">
    <w:name w:val="Body Small Right"/>
    <w:basedOn w:val="BodyTextRight"/>
    <w:rsid w:val="00C61C80"/>
    <w:rPr>
      <w:sz w:val="18"/>
      <w:szCs w:val="18"/>
    </w:rPr>
  </w:style>
  <w:style w:type="paragraph" w:customStyle="1" w:styleId="MarginEdition">
    <w:name w:val="Margin Edition"/>
    <w:basedOn w:val="MarginNote"/>
    <w:rsid w:val="00C61C80"/>
    <w:pPr>
      <w:spacing w:before="0" w:after="0"/>
    </w:pPr>
    <w:rPr>
      <w:rFonts w:ascii="Times New Roman" w:hAnsi="Times New Roman"/>
      <w:color w:val="999999"/>
    </w:rPr>
  </w:style>
  <w:style w:type="paragraph" w:customStyle="1" w:styleId="Spacer">
    <w:name w:val="Spacer"/>
    <w:basedOn w:val="Normal"/>
    <w:rsid w:val="00C61C80"/>
    <w:rPr>
      <w:sz w:val="2"/>
      <w:szCs w:val="2"/>
    </w:rPr>
  </w:style>
  <w:style w:type="character" w:customStyle="1" w:styleId="Small">
    <w:name w:val="Small"/>
    <w:basedOn w:val="DefaultParagraphFont"/>
    <w:rsid w:val="00C61C80"/>
    <w:rPr>
      <w:sz w:val="16"/>
    </w:rPr>
  </w:style>
  <w:style w:type="paragraph" w:customStyle="1" w:styleId="WideTable">
    <w:name w:val="Wide Table"/>
    <w:basedOn w:val="Normal"/>
    <w:rsid w:val="00C61C80"/>
    <w:pPr>
      <w:ind w:left="-1418"/>
    </w:pPr>
    <w:rPr>
      <w:sz w:val="2"/>
      <w:szCs w:val="2"/>
    </w:rPr>
  </w:style>
  <w:style w:type="character" w:styleId="PageNumber">
    <w:name w:val="page number"/>
    <w:basedOn w:val="DefaultParagraphFont"/>
    <w:rsid w:val="00C61C80"/>
  </w:style>
  <w:style w:type="paragraph" w:styleId="Quote">
    <w:name w:val="Quote"/>
    <w:basedOn w:val="Heading1"/>
    <w:link w:val="QuoteChar"/>
    <w:qFormat/>
    <w:rsid w:val="00C61C80"/>
    <w:rPr>
      <w:b w:val="0"/>
      <w:sz w:val="72"/>
      <w:szCs w:val="72"/>
      <w:lang w:val="en-NZ"/>
    </w:rPr>
  </w:style>
  <w:style w:type="character" w:customStyle="1" w:styleId="QuoteChar">
    <w:name w:val="Quote Char"/>
    <w:basedOn w:val="DefaultParagraphFont"/>
    <w:link w:val="Quote"/>
    <w:rsid w:val="00C61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C80"/>
    <w:pPr>
      <w:pageBreakBefore/>
    </w:pPr>
  </w:style>
  <w:style w:type="paragraph" w:customStyle="1" w:styleId="Border">
    <w:name w:val="Border"/>
    <w:basedOn w:val="Normal"/>
    <w:qFormat/>
    <w:rsid w:val="00C61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C80"/>
    <w:rPr>
      <w:b/>
      <w:bCs/>
      <w:i/>
      <w:iCs/>
      <w:color w:val="auto"/>
    </w:rPr>
  </w:style>
  <w:style w:type="paragraph" w:styleId="IntenseQuote">
    <w:name w:val="Intense Quote"/>
    <w:basedOn w:val="Normal"/>
    <w:next w:val="Normal"/>
    <w:link w:val="IntenseQuoteChar"/>
    <w:uiPriority w:val="30"/>
    <w:qFormat/>
    <w:rsid w:val="00C61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C80"/>
    <w:rPr>
      <w:smallCaps/>
      <w:color w:val="auto"/>
      <w:u w:val="single"/>
    </w:rPr>
  </w:style>
  <w:style w:type="character" w:styleId="IntenseReference">
    <w:name w:val="Intense Reference"/>
    <w:basedOn w:val="DefaultParagraphFont"/>
    <w:uiPriority w:val="32"/>
    <w:qFormat/>
    <w:rsid w:val="00C61C80"/>
    <w:rPr>
      <w:b/>
      <w:bCs/>
      <w:smallCaps/>
      <w:color w:val="auto"/>
      <w:spacing w:val="5"/>
      <w:u w:val="single"/>
    </w:rPr>
  </w:style>
  <w:style w:type="paragraph" w:customStyle="1" w:styleId="2ColumnHeading">
    <w:name w:val="2Column Heading"/>
    <w:basedOn w:val="BodyText"/>
    <w:qFormat/>
    <w:rsid w:val="00C61C80"/>
    <w:pPr>
      <w:spacing w:after="60"/>
      <w:ind w:left="-2268"/>
    </w:pPr>
    <w:rPr>
      <w:b/>
    </w:rPr>
  </w:style>
  <w:style w:type="paragraph" w:customStyle="1" w:styleId="Heading1TOC">
    <w:name w:val="Heading1 TOC"/>
    <w:basedOn w:val="Normal"/>
    <w:qFormat/>
    <w:rsid w:val="00C61C80"/>
    <w:pPr>
      <w:spacing w:before="240" w:after="120"/>
    </w:pPr>
    <w:rPr>
      <w:rFonts w:ascii="Times New Roman" w:hAnsi="Times New Roman"/>
      <w:b/>
      <w:sz w:val="32"/>
    </w:rPr>
  </w:style>
  <w:style w:type="paragraph" w:customStyle="1" w:styleId="Heading2TOC">
    <w:name w:val="Heading2 TOC"/>
    <w:basedOn w:val="Normal"/>
    <w:qFormat/>
    <w:rsid w:val="00C61C80"/>
    <w:pPr>
      <w:spacing w:before="240" w:after="60"/>
    </w:pPr>
    <w:rPr>
      <w:rFonts w:ascii="Times New Roman" w:hAnsi="Times New Roman"/>
      <w:b/>
      <w:sz w:val="28"/>
    </w:rPr>
  </w:style>
  <w:style w:type="character" w:customStyle="1" w:styleId="Underline">
    <w:name w:val="Underline"/>
    <w:basedOn w:val="DefaultParagraphFont"/>
    <w:qFormat/>
    <w:rsid w:val="00C61C80"/>
    <w:rPr>
      <w:u w:val="single"/>
    </w:rPr>
  </w:style>
  <w:style w:type="character" w:customStyle="1" w:styleId="BoldandItalics">
    <w:name w:val="Bold and Italics"/>
    <w:qFormat/>
    <w:rsid w:val="00C61C80"/>
    <w:rPr>
      <w:b/>
      <w:i/>
      <w:u w:val="none"/>
    </w:rPr>
  </w:style>
  <w:style w:type="paragraph" w:styleId="BalloonText">
    <w:name w:val="Balloon Text"/>
    <w:basedOn w:val="Normal"/>
    <w:link w:val="BalloonTextChar"/>
    <w:rsid w:val="00C61C80"/>
    <w:rPr>
      <w:rFonts w:ascii="Tahoma" w:hAnsi="Tahoma" w:cs="Tahoma"/>
      <w:sz w:val="16"/>
      <w:szCs w:val="16"/>
    </w:rPr>
  </w:style>
  <w:style w:type="character" w:customStyle="1" w:styleId="BalloonTextChar">
    <w:name w:val="Balloon Text Char"/>
    <w:basedOn w:val="DefaultParagraphFont"/>
    <w:link w:val="BalloonText"/>
    <w:rsid w:val="00C61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C80"/>
    <w:rPr>
      <w:b/>
      <w:color w:val="660033"/>
      <w:spacing w:val="0"/>
    </w:rPr>
  </w:style>
  <w:style w:type="paragraph" w:customStyle="1" w:styleId="Nameditemlist">
    <w:name w:val="Named item list"/>
    <w:basedOn w:val="BodyText"/>
    <w:qFormat/>
    <w:rsid w:val="00C61C80"/>
    <w:pPr>
      <w:tabs>
        <w:tab w:val="left" w:pos="2835"/>
      </w:tabs>
      <w:ind w:left="2835" w:hanging="2835"/>
    </w:pPr>
  </w:style>
  <w:style w:type="paragraph" w:customStyle="1" w:styleId="BodyTextnopadding">
    <w:name w:val="Body Text no padding"/>
    <w:basedOn w:val="BodyText"/>
    <w:qFormat/>
    <w:rsid w:val="00C61C80"/>
    <w:pPr>
      <w:spacing w:before="0" w:after="0"/>
    </w:pPr>
  </w:style>
  <w:style w:type="paragraph" w:customStyle="1" w:styleId="BodyTextBold">
    <w:name w:val="Body Text Bold"/>
    <w:basedOn w:val="BodyText"/>
    <w:qFormat/>
    <w:rsid w:val="00C61C80"/>
    <w:rPr>
      <w:b/>
    </w:rPr>
  </w:style>
  <w:style w:type="character" w:styleId="Hyperlink">
    <w:name w:val="Hyperlink"/>
    <w:basedOn w:val="DefaultParagraphFont"/>
    <w:uiPriority w:val="99"/>
    <w:unhideWhenUsed/>
    <w:rsid w:val="00550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6389</Characters>
  <Application>Microsoft Office Word</Application>
  <DocSecurity>0</DocSecurity>
  <Lines>163</Lines>
  <Paragraphs>114</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RIIRAI603D Establish and maintain mine transport systems and production equipment</dc:title>
  <dc:subject>Approved</dc:subject>
  <dc:creator>PwC’s Skills for Australia</dc:creator>
  <cp:keywords>Release: 2</cp:keywords>
  <dc:description>Review Date: 12 April 2008</dc:description>
  <cp:lastModifiedBy>HSD_TPCMSd.prod</cp:lastModifiedBy>
  <cp:revision>3</cp:revision>
  <dcterms:created xsi:type="dcterms:W3CDTF">2020-07-08T05:43:00Z</dcterms:created>
  <dcterms:modified xsi:type="dcterms:W3CDTF">2020-07-08T05:43:00Z</dcterms:modified>
</cp:coreProperties>
</file>