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EBA" w:rsidP="00B82EBA">
      <w:pPr>
        <w:pStyle w:val="Title"/>
      </w:pPr>
      <w:r>
        <w:fldChar w:fldCharType="begin"/>
      </w:r>
      <w:r>
        <w:instrText xml:space="preserve"> TITLE   \* MERGEFORMAT </w:instrText>
      </w:r>
      <w:r>
        <w:fldChar w:fldCharType="separate"/>
      </w:r>
      <w:r>
        <w:t>Assessment Requirements for RIIRAI601D Establish and maintain the site infrastructure and fixed plant systems</w:t>
      </w:r>
      <w:r>
        <w:fldChar w:fldCharType="end"/>
      </w:r>
    </w:p>
    <w:p w:rsidR="00B82EBA" w:rsidP="00B82EBA">
      <w:pPr>
        <w:pStyle w:val="Version"/>
        <w:sectPr w:rsidSect="00191D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91D3A" w:rsidP="00191D3A">
      <w:pPr>
        <w:pStyle w:val="SuperHeading"/>
      </w:pPr>
      <w:r w:rsidRPr="00191D3A">
        <w:t>Assessment Requirements for RIIRAI601D Establish and maintain the site infrastructure and fixed plant systems</w:t>
      </w:r>
    </w:p>
    <w:p w:rsidR="00000000" w:rsidRPr="00191D3A" w:rsidP="00191D3A">
      <w:pPr>
        <w:pStyle w:val="Heading1"/>
      </w:pPr>
      <w:bookmarkStart w:id="1" w:name="O_682087"/>
      <w:bookmarkEnd w:id="1"/>
      <w:r w:rsidRPr="00191D3A">
        <w:t>Modification History</w:t>
      </w:r>
    </w:p>
    <w:tbl>
      <w:tblPr>
        <w:tblW w:w="0" w:type="auto"/>
        <w:tblCellMar>
          <w:left w:w="62" w:type="dxa"/>
          <w:right w:w="62" w:type="dxa"/>
        </w:tblCellMar>
        <w:tblLook w:val="0000"/>
      </w:tblPr>
      <w:tblGrid>
        <w:gridCol w:w="1107"/>
        <w:gridCol w:w="8089"/>
      </w:tblGrid>
      <w:tr w:rsidTr="00B82E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D3A">
            <w:pPr>
              <w:pStyle w:val="Heading4"/>
              <w:rPr>
                <w:lang w:val="en-NZ"/>
              </w:rPr>
            </w:pPr>
            <w:r w:rsidRPr="00191D3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D3A">
            <w:pPr>
              <w:pStyle w:val="Heading4"/>
              <w:rPr>
                <w:lang w:val="en-NZ"/>
              </w:rPr>
            </w:pPr>
            <w:r w:rsidRPr="00191D3A">
              <w:t>Comment</w:t>
            </w:r>
          </w:p>
        </w:tc>
      </w:tr>
      <w:tr w:rsidTr="00B82EBA">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D3A">
            <w:pPr>
              <w:pStyle w:val="BodyText"/>
              <w:rPr>
                <w:lang w:val="en-NZ"/>
              </w:rPr>
            </w:pPr>
            <w:r w:rsidRPr="00191D3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D3A">
            <w:pPr>
              <w:pStyle w:val="BodyText"/>
              <w:rPr>
                <w:lang w:val="en-NZ"/>
              </w:rPr>
            </w:pPr>
            <w:r w:rsidRPr="00191D3A">
              <w:t>This unit replaces RIIRA601A Establish and maintain the site infrastructure and fixed plant systems</w:t>
            </w:r>
          </w:p>
        </w:tc>
      </w:tr>
      <w:tr w:rsidTr="00B82E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D3A">
            <w:pPr>
              <w:pStyle w:val="BodyText"/>
              <w:rPr>
                <w:lang w:val="en-NZ"/>
              </w:rPr>
            </w:pPr>
            <w:r w:rsidRPr="00191D3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D3A">
            <w:pPr>
              <w:pStyle w:val="BodyText"/>
              <w:rPr>
                <w:lang w:val="en-NZ"/>
              </w:rPr>
            </w:pPr>
            <w:r w:rsidRPr="00191D3A">
              <w:t>Editorial corrections</w:t>
            </w:r>
          </w:p>
        </w:tc>
      </w:tr>
      <w:tr w:rsidTr="00B82EB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D3A">
            <w:pPr>
              <w:pStyle w:val="BodyText"/>
              <w:rPr>
                <w:lang w:val="en-NZ"/>
              </w:rPr>
            </w:pPr>
            <w:r w:rsidRPr="00191D3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D3A" w:rsidP="00191D3A">
            <w:pPr>
              <w:pStyle w:val="BodyText"/>
            </w:pPr>
            <w:r w:rsidRPr="00191D3A">
              <w:t>Required frequency and volume of evidence amended in Performance evidence.</w:t>
            </w:r>
          </w:p>
          <w:p w:rsidR="00000000" w:rsidRPr="00191D3A" w:rsidP="00191D3A">
            <w:pPr>
              <w:pStyle w:val="BodyText"/>
            </w:pPr>
            <w:r w:rsidRPr="00191D3A">
              <w:t xml:space="preserve">Substantial amendments made in Assessment Conditions </w:t>
            </w:r>
            <w:r w:rsidRPr="00191D3A">
              <w:t>field, including: references to Industry Sectors, assessor and subject matter expert experience requirements, how assessment should be conducted and what it should confirm.</w:t>
            </w:r>
          </w:p>
        </w:tc>
      </w:tr>
    </w:tbl>
    <w:p w:rsidR="00000000" w:rsidRPr="00191D3A" w:rsidP="00191D3A">
      <w:pPr>
        <w:pStyle w:val="BodyText"/>
      </w:pPr>
    </w:p>
    <w:p w:rsidR="00000000" w:rsidRPr="00191D3A" w:rsidP="00191D3A">
      <w:pPr>
        <w:pStyle w:val="AllowPageBreak"/>
      </w:pPr>
    </w:p>
    <w:p w:rsidR="00000000" w:rsidRPr="00191D3A" w:rsidP="00191D3A">
      <w:pPr>
        <w:pStyle w:val="Heading1"/>
      </w:pPr>
      <w:bookmarkStart w:id="2" w:name="O_682086"/>
      <w:bookmarkEnd w:id="2"/>
      <w:r w:rsidRPr="00191D3A">
        <w:t>Performance Evidence</w:t>
      </w:r>
    </w:p>
    <w:p w:rsidR="00000000" w:rsidRPr="00191D3A" w:rsidP="00B82EBA">
      <w:pPr>
        <w:pStyle w:val="BodyText"/>
      </w:pPr>
      <w:r w:rsidRPr="00191D3A">
        <w:t>Evidence is required to be collected that demonstrates a candidate’s competency in this unit. Evidence must be relevant to the roles within this sector’s work operations and satisfy all of the requirements of the performance criteria of this unit and inclu</w:t>
      </w:r>
      <w:r w:rsidRPr="00191D3A">
        <w:t>de evidence that the candidate:</w:t>
      </w:r>
    </w:p>
    <w:p w:rsidR="00000000" w:rsidRPr="00191D3A" w:rsidP="00191D3A">
      <w:pPr>
        <w:pStyle w:val="ListBullet2"/>
      </w:pPr>
      <w:r w:rsidRPr="00191D3A">
        <w:t>locates and applies relevant legislation, documentation, policies and procedures</w:t>
      </w:r>
    </w:p>
    <w:p w:rsidR="00000000" w:rsidRPr="00191D3A" w:rsidP="00191D3A">
      <w:pPr>
        <w:pStyle w:val="ListBullet2"/>
      </w:pPr>
      <w:r w:rsidRPr="00191D3A">
        <w:t>implements procedures and techniques for the safe, effective and efficient completion of the establishing and maintenance of site infrastructu</w:t>
      </w:r>
      <w:r w:rsidRPr="00191D3A">
        <w:t>re and fixed plant systems including:</w:t>
      </w:r>
    </w:p>
    <w:p w:rsidR="00000000" w:rsidRPr="00191D3A" w:rsidP="00191D3A">
      <w:pPr>
        <w:pStyle w:val="ListBullet2"/>
      </w:pPr>
      <w:r w:rsidRPr="00191D3A">
        <w:t>accessing, interpreting and applying procedures for;</w:t>
      </w:r>
    </w:p>
    <w:p w:rsidR="00000000" w:rsidRPr="00191D3A" w:rsidP="00191D3A">
      <w:pPr>
        <w:pStyle w:val="ListBullet3"/>
      </w:pPr>
      <w:r w:rsidRPr="00191D3A">
        <w:t>development and review of business plans</w:t>
      </w:r>
    </w:p>
    <w:p w:rsidR="00000000" w:rsidRPr="00191D3A" w:rsidP="00191D3A">
      <w:pPr>
        <w:pStyle w:val="ListBullet3"/>
      </w:pPr>
      <w:r w:rsidRPr="00191D3A">
        <w:t>resource plan development</w:t>
      </w:r>
    </w:p>
    <w:p w:rsidR="00000000" w:rsidRPr="00191D3A" w:rsidP="00191D3A">
      <w:pPr>
        <w:pStyle w:val="ListBullet3"/>
      </w:pPr>
      <w:r w:rsidRPr="00191D3A">
        <w:t>project budget preparation</w:t>
      </w:r>
    </w:p>
    <w:p w:rsidR="00000000" w:rsidRPr="00191D3A" w:rsidP="00191D3A">
      <w:pPr>
        <w:pStyle w:val="ListBullet3"/>
      </w:pPr>
      <w:r w:rsidRPr="00191D3A">
        <w:t>title searches</w:t>
      </w:r>
    </w:p>
    <w:p w:rsidR="00000000" w:rsidRPr="00191D3A" w:rsidP="00191D3A">
      <w:pPr>
        <w:pStyle w:val="ListBullet3"/>
      </w:pPr>
      <w:r w:rsidRPr="00191D3A">
        <w:t>statutory and legal approval applications</w:t>
      </w:r>
    </w:p>
    <w:p w:rsidR="00000000" w:rsidRPr="00191D3A" w:rsidP="00191D3A">
      <w:pPr>
        <w:pStyle w:val="ListBullet3"/>
      </w:pPr>
      <w:r w:rsidRPr="00191D3A">
        <w:t>project management strategies</w:t>
      </w:r>
    </w:p>
    <w:p w:rsidR="00000000" w:rsidRPr="00191D3A" w:rsidP="00191D3A">
      <w:pPr>
        <w:pStyle w:val="ListBullet3"/>
      </w:pPr>
      <w:r w:rsidRPr="00191D3A">
        <w:t>techniques to implement change</w:t>
      </w:r>
    </w:p>
    <w:p w:rsidR="00000000" w:rsidRPr="00191D3A" w:rsidP="00191D3A">
      <w:pPr>
        <w:pStyle w:val="ListBullet3"/>
      </w:pPr>
      <w:r w:rsidRPr="00191D3A">
        <w:t>using appropriate technologies</w:t>
      </w:r>
    </w:p>
    <w:p w:rsidR="00000000" w:rsidRPr="00191D3A" w:rsidP="00191D3A">
      <w:pPr>
        <w:pStyle w:val="ListBullet3"/>
      </w:pPr>
      <w:r w:rsidRPr="00191D3A">
        <w:t>preparation and presentation of management reports</w:t>
      </w:r>
    </w:p>
    <w:p w:rsidR="00000000" w:rsidRPr="00191D3A" w:rsidP="00191D3A">
      <w:pPr>
        <w:pStyle w:val="ListBullet3"/>
      </w:pPr>
      <w:r w:rsidRPr="00191D3A">
        <w:t>negotiation with internal/external customers, community and statutory/legal authorities</w:t>
      </w:r>
    </w:p>
    <w:p w:rsidR="00000000" w:rsidRPr="00191D3A" w:rsidP="00191D3A">
      <w:pPr>
        <w:pStyle w:val="ListBullet3"/>
      </w:pPr>
      <w:r w:rsidRPr="00191D3A">
        <w:t>conflict resolution</w:t>
      </w:r>
    </w:p>
    <w:p w:rsidR="00000000" w:rsidRPr="00191D3A" w:rsidP="00191D3A">
      <w:pPr>
        <w:pStyle w:val="ListBullet3"/>
      </w:pPr>
      <w:r w:rsidRPr="00191D3A">
        <w:t>techn</w:t>
      </w:r>
      <w:r w:rsidRPr="00191D3A">
        <w:t>ical information</w:t>
      </w:r>
    </w:p>
    <w:p w:rsidR="00000000" w:rsidRPr="00191D3A" w:rsidP="00191D3A">
      <w:pPr>
        <w:pStyle w:val="ListBullet3"/>
      </w:pPr>
      <w:r w:rsidRPr="00191D3A">
        <w:t>site/legislative requirements</w:t>
      </w:r>
    </w:p>
    <w:p w:rsidR="00000000" w:rsidRPr="00191D3A" w:rsidP="00191D3A">
      <w:pPr>
        <w:pStyle w:val="ListBullet3"/>
      </w:pPr>
      <w:r w:rsidRPr="00191D3A">
        <w:t>records and reports</w:t>
      </w:r>
    </w:p>
    <w:p w:rsidR="00000000" w:rsidRPr="00191D3A" w:rsidP="00191D3A">
      <w:pPr>
        <w:pStyle w:val="ListBullet3"/>
      </w:pPr>
      <w:r w:rsidRPr="00191D3A">
        <w:t>principles of site design</w:t>
      </w:r>
    </w:p>
    <w:p w:rsidR="00000000" w:rsidRPr="00191D3A" w:rsidP="00191D3A">
      <w:pPr>
        <w:pStyle w:val="ListBullet3"/>
      </w:pPr>
      <w:r w:rsidRPr="00191D3A">
        <w:t>hazard identification and risk management</w:t>
      </w:r>
    </w:p>
    <w:p w:rsidR="00000000" w:rsidRPr="00191D3A" w:rsidP="00191D3A">
      <w:pPr>
        <w:pStyle w:val="ListBullet3"/>
      </w:pPr>
      <w:r w:rsidRPr="00191D3A">
        <w:t xml:space="preserve">work planning and coordination </w:t>
      </w:r>
    </w:p>
    <w:p w:rsidR="00000000" w:rsidRPr="00191D3A" w:rsidP="00191D3A">
      <w:pPr>
        <w:pStyle w:val="ListBullet3"/>
      </w:pPr>
      <w:r w:rsidRPr="00191D3A">
        <w:t>training needs analysis</w:t>
      </w:r>
    </w:p>
    <w:p w:rsidR="00000000" w:rsidRPr="00191D3A" w:rsidP="00191D3A">
      <w:pPr>
        <w:pStyle w:val="ListBullet3"/>
      </w:pPr>
      <w:r w:rsidRPr="00191D3A">
        <w:t>using manufacturer’s instructions</w:t>
      </w:r>
    </w:p>
    <w:p w:rsidR="00000000" w:rsidRPr="00191D3A" w:rsidP="00191D3A">
      <w:pPr>
        <w:pStyle w:val="ListBullet3"/>
      </w:pPr>
      <w:r w:rsidRPr="00191D3A">
        <w:t>maintenance surveys</w:t>
      </w:r>
    </w:p>
    <w:p w:rsidR="00000000" w:rsidRPr="00191D3A" w:rsidP="00191D3A">
      <w:pPr>
        <w:pStyle w:val="ListBullet2"/>
      </w:pPr>
      <w:r w:rsidRPr="00191D3A">
        <w:t>works effe</w:t>
      </w:r>
      <w:r w:rsidRPr="00191D3A">
        <w:t>ctively with others to undertake and complete the establishing and maintenance of site infrastructure and fixed plant systems including:</w:t>
      </w:r>
    </w:p>
    <w:p w:rsidR="00000000" w:rsidRPr="00191D3A" w:rsidP="00191D3A">
      <w:pPr>
        <w:pStyle w:val="ListBullet3"/>
      </w:pPr>
      <w:r w:rsidRPr="00191D3A">
        <w:t>managing people and processes</w:t>
      </w:r>
    </w:p>
    <w:p w:rsidR="00000000" w:rsidRPr="00191D3A" w:rsidP="00191D3A">
      <w:pPr>
        <w:pStyle w:val="ListBullet3"/>
      </w:pPr>
      <w:r w:rsidRPr="00191D3A">
        <w:t>resolving conflict</w:t>
      </w:r>
    </w:p>
    <w:p w:rsidR="00000000" w:rsidRPr="00191D3A" w:rsidP="00191D3A">
      <w:pPr>
        <w:pStyle w:val="ListBullet3"/>
      </w:pPr>
      <w:r w:rsidRPr="00191D3A">
        <w:t xml:space="preserve">coordinating human, financial and physical resources </w:t>
      </w:r>
    </w:p>
    <w:p w:rsidR="00000000" w:rsidRPr="00191D3A" w:rsidP="00191D3A">
      <w:pPr>
        <w:pStyle w:val="ListBullet3"/>
      </w:pPr>
      <w:r w:rsidRPr="00191D3A">
        <w:t>developing, initiating and administering work plans</w:t>
      </w:r>
    </w:p>
    <w:p w:rsidR="00000000" w:rsidRPr="00191D3A" w:rsidP="00191D3A">
      <w:pPr>
        <w:pStyle w:val="ListBullet3"/>
      </w:pPr>
      <w:r w:rsidRPr="00191D3A">
        <w:t>interpreting and applying operational performance data</w:t>
      </w:r>
    </w:p>
    <w:p w:rsidR="00000000" w:rsidRPr="00191D3A" w:rsidP="00191D3A">
      <w:pPr>
        <w:pStyle w:val="ListBullet3"/>
      </w:pPr>
      <w:r w:rsidRPr="00191D3A">
        <w:t xml:space="preserve">engaging internal and external stakeholders </w:t>
      </w:r>
    </w:p>
    <w:p w:rsidR="00000000" w:rsidRPr="00191D3A" w:rsidP="00191D3A">
      <w:pPr>
        <w:pStyle w:val="ListBullet3"/>
      </w:pPr>
      <w:r w:rsidRPr="00191D3A">
        <w:t>briefings and handover details</w:t>
      </w:r>
    </w:p>
    <w:p w:rsidR="00000000" w:rsidRPr="00191D3A" w:rsidP="00191D3A">
      <w:pPr>
        <w:pStyle w:val="ListBullet2"/>
      </w:pPr>
      <w:r w:rsidRPr="00191D3A">
        <w:t>demonstrates completion of establishing and maintenance of site infrastr</w:t>
      </w:r>
      <w:r w:rsidRPr="00191D3A">
        <w:t>ucture and fixed plant system that safely, effectively and efficiently meets all of the required outcomes on more than one (1) occasion including:</w:t>
      </w:r>
    </w:p>
    <w:p w:rsidR="00000000" w:rsidRPr="00191D3A" w:rsidP="00191D3A">
      <w:pPr>
        <w:pStyle w:val="ListBullet3"/>
      </w:pPr>
      <w:r w:rsidRPr="00191D3A">
        <w:t>identification of the relevant information and scope of the work</w:t>
      </w:r>
    </w:p>
    <w:p w:rsidR="00000000" w:rsidRPr="00191D3A" w:rsidP="00191D3A">
      <w:pPr>
        <w:pStyle w:val="ListBullet3"/>
      </w:pPr>
      <w:r w:rsidRPr="00191D3A">
        <w:t>identifying the full range of specification</w:t>
      </w:r>
      <w:r w:rsidRPr="00191D3A">
        <w:t xml:space="preserve"> requirements</w:t>
      </w:r>
    </w:p>
    <w:p w:rsidR="00000000" w:rsidRPr="00191D3A" w:rsidP="00191D3A">
      <w:pPr>
        <w:pStyle w:val="ListBullet3"/>
      </w:pPr>
      <w:r w:rsidRPr="00191D3A">
        <w:t>identifying all aspects of the site infrastructure and fixed plant systems</w:t>
      </w:r>
    </w:p>
    <w:p w:rsidR="00000000" w:rsidRPr="00191D3A" w:rsidP="00191D3A">
      <w:pPr>
        <w:pStyle w:val="ListBullet2"/>
      </w:pPr>
      <w:r w:rsidRPr="00191D3A">
        <w:t>identification and selection of viable options for the establishment and maintenance of site infrastructure and fixed plant systems that best meet the required outcom</w:t>
      </w:r>
      <w:r w:rsidRPr="00191D3A">
        <w:t>es through:</w:t>
      </w:r>
    </w:p>
    <w:p w:rsidR="00000000" w:rsidRPr="00191D3A" w:rsidP="00191D3A">
      <w:pPr>
        <w:pStyle w:val="ListBullet3"/>
      </w:pPr>
      <w:r w:rsidRPr="00191D3A">
        <w:t>accessing, interpreting and applying feasibility analysis</w:t>
      </w:r>
    </w:p>
    <w:p w:rsidR="00000000" w:rsidRPr="00191D3A" w:rsidP="00191D3A">
      <w:pPr>
        <w:pStyle w:val="ListBullet3"/>
      </w:pPr>
      <w:r w:rsidRPr="00191D3A">
        <w:t>analysis of impacts of infrastructure options from relevant technical, operational and financial information</w:t>
      </w:r>
    </w:p>
    <w:p w:rsidR="00000000" w:rsidRPr="00191D3A" w:rsidP="00191D3A">
      <w:pPr>
        <w:pStyle w:val="ListBullet3"/>
      </w:pPr>
      <w:r w:rsidRPr="00191D3A">
        <w:t>analysis of impacts of plant options from relevant technical, operational and financial information</w:t>
      </w:r>
    </w:p>
    <w:p w:rsidR="00000000" w:rsidRPr="00191D3A" w:rsidP="00191D3A">
      <w:pPr>
        <w:pStyle w:val="ListBullet3"/>
      </w:pPr>
      <w:r w:rsidRPr="00191D3A">
        <w:t>providing detailed plans, budgets, financial models, in accordance with the feasibility analysis</w:t>
      </w:r>
    </w:p>
    <w:p w:rsidR="00000000" w:rsidRPr="00191D3A" w:rsidP="00191D3A">
      <w:pPr>
        <w:pStyle w:val="ListBullet3"/>
      </w:pPr>
      <w:r w:rsidRPr="00191D3A">
        <w:t>establishing the audit and review system</w:t>
      </w:r>
    </w:p>
    <w:p w:rsidR="00000000" w:rsidRPr="00191D3A" w:rsidP="00191D3A">
      <w:pPr>
        <w:pStyle w:val="AllowPageBreak"/>
      </w:pPr>
    </w:p>
    <w:p w:rsidR="00000000" w:rsidRPr="00191D3A" w:rsidP="00191D3A">
      <w:pPr>
        <w:pStyle w:val="Heading1"/>
      </w:pPr>
      <w:bookmarkStart w:id="3" w:name="O_682085"/>
      <w:bookmarkEnd w:id="3"/>
      <w:r w:rsidRPr="00191D3A">
        <w:t>K</w:t>
      </w:r>
      <w:r w:rsidRPr="00191D3A">
        <w:t>nowledge Evidence</w:t>
      </w:r>
    </w:p>
    <w:p w:rsidR="00000000" w:rsidRPr="00191D3A" w:rsidP="00B82EBA">
      <w:pPr>
        <w:pStyle w:val="BodyText"/>
      </w:pPr>
      <w:r w:rsidRPr="00191D3A">
        <w:t>The candidate must demonstrate knowledge in establishing and maintaining the site infrastructure and fixed plant systems through:</w:t>
      </w:r>
    </w:p>
    <w:p w:rsidR="00000000" w:rsidRPr="00191D3A" w:rsidP="00191D3A">
      <w:pPr>
        <w:pStyle w:val="ListBullet2"/>
      </w:pPr>
      <w:r w:rsidRPr="00191D3A">
        <w:t>legislative, organisation and site requirements and procedures for;</w:t>
      </w:r>
    </w:p>
    <w:p w:rsidR="00000000" w:rsidRPr="00191D3A" w:rsidP="00191D3A">
      <w:pPr>
        <w:pStyle w:val="ListBullet3"/>
      </w:pPr>
      <w:r w:rsidRPr="00191D3A">
        <w:t>risk management</w:t>
      </w:r>
    </w:p>
    <w:p w:rsidR="00000000" w:rsidRPr="00191D3A" w:rsidP="00191D3A">
      <w:pPr>
        <w:pStyle w:val="ListBullet3"/>
      </w:pPr>
      <w:r w:rsidRPr="00191D3A">
        <w:t>statutory/legal contro</w:t>
      </w:r>
      <w:r w:rsidRPr="00191D3A">
        <w:t>l</w:t>
      </w:r>
    </w:p>
    <w:p w:rsidR="00000000" w:rsidRPr="00191D3A" w:rsidP="00191D3A">
      <w:pPr>
        <w:pStyle w:val="ListBullet3"/>
      </w:pPr>
      <w:r w:rsidRPr="00191D3A">
        <w:t>conducting surveying</w:t>
      </w:r>
    </w:p>
    <w:p w:rsidR="00000000" w:rsidRPr="00191D3A" w:rsidP="00191D3A">
      <w:pPr>
        <w:pStyle w:val="ListBullet3"/>
      </w:pPr>
      <w:r w:rsidRPr="00191D3A">
        <w:t>titles management</w:t>
      </w:r>
    </w:p>
    <w:p w:rsidR="00000000" w:rsidRPr="00191D3A" w:rsidP="00191D3A">
      <w:pPr>
        <w:pStyle w:val="ListBullet3"/>
      </w:pPr>
      <w:r w:rsidRPr="00191D3A">
        <w:t>organisational change and development</w:t>
      </w:r>
    </w:p>
    <w:p w:rsidR="00000000" w:rsidRPr="00191D3A" w:rsidP="00191D3A">
      <w:pPr>
        <w:pStyle w:val="ListBullet3"/>
      </w:pPr>
      <w:r w:rsidRPr="00191D3A">
        <w:t>project management</w:t>
      </w:r>
    </w:p>
    <w:p w:rsidR="00000000" w:rsidRPr="00191D3A" w:rsidP="00191D3A">
      <w:pPr>
        <w:pStyle w:val="ListBullet2"/>
      </w:pPr>
      <w:r w:rsidRPr="00191D3A">
        <w:t>computer applications</w:t>
      </w:r>
    </w:p>
    <w:p w:rsidR="00000000" w:rsidRPr="00191D3A" w:rsidP="00191D3A">
      <w:pPr>
        <w:pStyle w:val="ListBullet2"/>
      </w:pPr>
      <w:r w:rsidRPr="00191D3A">
        <w:t>financial models</w:t>
      </w:r>
    </w:p>
    <w:p w:rsidR="00000000" w:rsidRPr="00191D3A" w:rsidP="00191D3A">
      <w:pPr>
        <w:pStyle w:val="ListBullet2"/>
      </w:pPr>
      <w:r w:rsidRPr="00191D3A">
        <w:t>site design</w:t>
      </w:r>
    </w:p>
    <w:p w:rsidR="00000000" w:rsidRPr="00191D3A" w:rsidP="00191D3A">
      <w:pPr>
        <w:pStyle w:val="ListBullet2"/>
      </w:pPr>
      <w:r w:rsidRPr="00191D3A">
        <w:t>mining operations, plant and equipment</w:t>
      </w:r>
    </w:p>
    <w:p w:rsidR="00000000" w:rsidRPr="00191D3A" w:rsidP="00191D3A">
      <w:pPr>
        <w:pStyle w:val="ListBullet2"/>
      </w:pPr>
      <w:r w:rsidRPr="00191D3A">
        <w:t>negotiation techniques</w:t>
      </w:r>
    </w:p>
    <w:p w:rsidR="00000000" w:rsidRPr="00191D3A" w:rsidP="00191D3A">
      <w:pPr>
        <w:pStyle w:val="ListBullet2"/>
      </w:pPr>
      <w:r w:rsidRPr="00191D3A">
        <w:t>organisational objectives</w:t>
      </w:r>
    </w:p>
    <w:p w:rsidR="00000000" w:rsidRPr="00191D3A" w:rsidP="00191D3A">
      <w:pPr>
        <w:pStyle w:val="ListBullet2"/>
      </w:pPr>
      <w:r w:rsidRPr="00191D3A">
        <w:t>planning and strategic management</w:t>
      </w:r>
    </w:p>
    <w:p w:rsidR="00000000" w:rsidRPr="00191D3A" w:rsidP="00191D3A">
      <w:pPr>
        <w:pStyle w:val="ListBullet2"/>
      </w:pPr>
      <w:r w:rsidRPr="00191D3A">
        <w:t>resource quantification</w:t>
      </w:r>
    </w:p>
    <w:p w:rsidR="00000000" w:rsidRPr="00191D3A" w:rsidP="00191D3A">
      <w:pPr>
        <w:pStyle w:val="AllowPageBreak"/>
      </w:pPr>
    </w:p>
    <w:p w:rsidR="00000000" w:rsidRPr="00191D3A" w:rsidP="00191D3A">
      <w:pPr>
        <w:pStyle w:val="Heading1"/>
      </w:pPr>
      <w:bookmarkStart w:id="4" w:name="O_682084"/>
      <w:bookmarkEnd w:id="4"/>
      <w:r w:rsidRPr="00191D3A">
        <w:t>Assessment Conditions</w:t>
      </w:r>
    </w:p>
    <w:p w:rsidR="00000000" w:rsidRPr="00191D3A" w:rsidP="00191D3A">
      <w:pPr>
        <w:pStyle w:val="ListBullet"/>
      </w:pPr>
      <w:r w:rsidRPr="00191D3A">
        <w:t xml:space="preserve">An assessor of this unit must satisfy the requirements of the NVR/AQTF or their successors; and Industry regulations for certification and licensing; and, </w:t>
      </w:r>
    </w:p>
    <w:p w:rsidR="00000000" w:rsidRPr="00191D3A" w:rsidP="00191D3A">
      <w:pPr>
        <w:pStyle w:val="ListBullet"/>
      </w:pPr>
      <w:r w:rsidRPr="00191D3A">
        <w:t>this unit must be assessed in the context of this sector’s work environment; and,</w:t>
      </w:r>
    </w:p>
    <w:p w:rsidR="00000000" w:rsidRPr="00191D3A" w:rsidP="00191D3A">
      <w:pPr>
        <w:pStyle w:val="ListBullet"/>
      </w:pPr>
      <w:r w:rsidRPr="00191D3A">
        <w:t>this unit must be assessed in compliance with relevant legislation/regulation and using policies, procedures, processes and operational manuals directly related to the indust</w:t>
      </w:r>
      <w:r w:rsidRPr="00191D3A">
        <w:t>ry sector for which it is being assessed; and,</w:t>
      </w:r>
    </w:p>
    <w:p w:rsidR="00000000" w:rsidRPr="00191D3A" w:rsidP="00191D3A">
      <w:pPr>
        <w:pStyle w:val="ListBullet"/>
      </w:pPr>
      <w:r w:rsidRPr="00191D3A">
        <w:t>assessment may be conducted in conjunction with the assessment of other Units of Competency; and,</w:t>
      </w:r>
    </w:p>
    <w:p w:rsidR="00000000" w:rsidRPr="00191D3A" w:rsidP="00191D3A">
      <w:pPr>
        <w:pStyle w:val="ListBullet"/>
      </w:pPr>
      <w:r w:rsidRPr="00191D3A">
        <w:t>assessment must confirm consistent performance can be applied in a range of relevant workplace circumstances; a</w:t>
      </w:r>
      <w:r w:rsidRPr="00191D3A">
        <w:t>nd,</w:t>
      </w:r>
    </w:p>
    <w:p w:rsidR="00000000" w:rsidRPr="00191D3A" w:rsidP="00191D3A">
      <w:pPr>
        <w:pStyle w:val="ListBullet"/>
      </w:pPr>
      <w:r w:rsidRPr="00191D3A">
        <w:t>assessors must demonstrate the performance evidence, and knowledge evidence as outlined in this Unit of Competency, and through the minimum years of current* work experience specified below in an Industry sector relevant to the outcomes of the unit; or</w:t>
      </w:r>
      <w:r w:rsidRPr="00191D3A">
        <w:t>,</w:t>
      </w:r>
    </w:p>
    <w:p w:rsidR="00000000" w:rsidRPr="00191D3A" w:rsidP="00191D3A">
      <w:pPr>
        <w:pStyle w:val="ListBullet"/>
      </w:pPr>
      <w:r w:rsidRPr="00191D3A">
        <w:t>where the assessor does not meet experience requirements a co-assessment or partnership arrangement must exist between the qualified assessor and an Industry subject matter expert. The Industry subject matter expert should hold the unit being assessed (o</w:t>
      </w:r>
      <w:r w:rsidRPr="00191D3A">
        <w:t>r an equivalent unit) and/or demonstrate equivalence of skills and knowledge at the unit level. An Industry technical expert must also demonstrate skills and knowledge from the minimum years of current work experience specified below in the Industry sector</w:t>
      </w:r>
      <w:r w:rsidRPr="00191D3A">
        <w:t>, including time spent in roles related to the unit being assessed; and,</w:t>
      </w:r>
    </w:p>
    <w:p w:rsidR="00000000" w:rsidRPr="00191D3A" w:rsidP="00191D3A">
      <w:pPr>
        <w:pStyle w:val="ListBullet"/>
      </w:pPr>
      <w:r w:rsidRPr="00191D3A">
        <w:t>assessor and Industry subject matter expert requirements differ depending on the Australian Qualifications Framework Level (AQF) of the qualification being assessed and/or Industry Se</w:t>
      </w:r>
      <w:r w:rsidRPr="00191D3A">
        <w:t>ctor as follows:</w:t>
      </w:r>
    </w:p>
    <w:tbl>
      <w:tblPr>
        <w:tblW w:w="8896" w:type="dxa"/>
        <w:tblInd w:w="360" w:type="dxa"/>
        <w:tblLayout w:type="fixed"/>
        <w:tblCellMar>
          <w:left w:w="62" w:type="dxa"/>
          <w:right w:w="62" w:type="dxa"/>
        </w:tblCellMar>
        <w:tblLook w:val="0000"/>
      </w:tblPr>
      <w:tblGrid>
        <w:gridCol w:w="4218"/>
        <w:gridCol w:w="1559"/>
        <w:gridCol w:w="3119"/>
      </w:tblGrid>
      <w:tr w:rsidTr="00191D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SubHeading1"/>
              <w:rPr>
                <w:lang w:val="en-NZ"/>
              </w:rPr>
            </w:pPr>
            <w:r w:rsidRPr="00191D3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SubHeading1"/>
              <w:rPr>
                <w:lang w:val="en-NZ"/>
              </w:rPr>
            </w:pPr>
            <w:r w:rsidRPr="00191D3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SubHeading1"/>
              <w:rPr>
                <w:lang w:val="en-NZ"/>
              </w:rPr>
            </w:pPr>
            <w:r w:rsidRPr="00191D3A">
              <w:t>Required assessor or Industry subject matter expert experience</w:t>
            </w:r>
          </w:p>
        </w:tc>
      </w:tr>
      <w:tr w:rsidTr="00191D3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1 Year</w:t>
            </w:r>
          </w:p>
        </w:tc>
      </w:tr>
      <w:tr w:rsidTr="00191D3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2 Years</w:t>
            </w:r>
          </w:p>
        </w:tc>
      </w:tr>
      <w:tr w:rsidTr="00191D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Drilling, Coal Mining and E</w:t>
            </w:r>
            <w:r w:rsidRPr="00191D3A">
              <w:t xml:space="preserv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3 Years</w:t>
            </w:r>
          </w:p>
        </w:tc>
      </w:tr>
      <w:tr w:rsidTr="00191D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5 Years</w:t>
            </w:r>
          </w:p>
        </w:tc>
      </w:tr>
      <w:tr w:rsidTr="00191D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1D3A">
            <w:pPr>
              <w:pStyle w:val="BodyText"/>
              <w:rPr>
                <w:lang w:val="en-NZ"/>
              </w:rPr>
            </w:pPr>
            <w:r w:rsidRPr="00191D3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1D3A" w:rsidP="00191D3A">
            <w:pPr>
              <w:pStyle w:val="BodyText"/>
            </w:pPr>
            <w:r w:rsidRPr="00191D3A">
              <w:t xml:space="preserve">Where this Unit is being assessed outside of the Resources and Infrastructure Sectors assessor and/or Industry subject matter expert experience </w:t>
            </w:r>
            <w:r w:rsidRPr="00191D3A">
              <w:t>should be in-line with industry standards for the sector in which it is being assessed and where no Industry standard is specified should comply with any relevant regulation.</w:t>
            </w:r>
          </w:p>
        </w:tc>
      </w:tr>
    </w:tbl>
    <w:p w:rsidR="00000000" w:rsidRPr="00191D3A" w:rsidP="00B82EBA">
      <w:pPr>
        <w:pStyle w:val="BodyText"/>
      </w:pPr>
      <w:r w:rsidRPr="00191D3A">
        <w:t>*Assessors can demonstrate current work experience through employment within In</w:t>
      </w:r>
      <w:r w:rsidRPr="00191D3A">
        <w:t>dustry in a role relevant to the outcomes of the Unit; or, for external assessors this can be demonstrated through exposure to Industry by conducting frequent site assessments across various locations.</w:t>
      </w:r>
    </w:p>
    <w:p w:rsidR="00000000" w:rsidRPr="00191D3A" w:rsidP="00B82EBA">
      <w:pPr>
        <w:pStyle w:val="BodyText"/>
      </w:pPr>
      <w:r w:rsidRPr="00191D3A">
        <w:t>**Where a unit is being delivered outside of a Qualifi</w:t>
      </w:r>
      <w:r w:rsidRPr="00191D3A">
        <w:t>cation the first numeric character in the Unit code should be considered to indicate the AQF level</w:t>
      </w:r>
    </w:p>
    <w:p w:rsidR="00000000" w:rsidRPr="00191D3A" w:rsidP="00191D3A">
      <w:pPr>
        <w:pStyle w:val="Heading1"/>
      </w:pPr>
      <w:bookmarkStart w:id="5" w:name="O_682113"/>
      <w:bookmarkEnd w:id="5"/>
      <w:r w:rsidRPr="00191D3A">
        <w:t>Links</w:t>
      </w:r>
    </w:p>
    <w:p w:rsidR="00000000" w:rsidRPr="00191D3A" w:rsidP="00B82EBA">
      <w:pPr>
        <w:pStyle w:val="BodyText"/>
      </w:pPr>
      <w:r w:rsidRPr="00191D3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3223">
        <w:rPr>
          <w:rStyle w:val="Hyperlink"/>
        </w:rPr>
        <w:t>https://vetnet.gov.au/Pages/TrainingDocs.aspx?q=88a61002-9a21-4386-aaf8-69c76e675272</w:t>
      </w:r>
      <w:r>
        <w:fldChar w:fldCharType="end"/>
      </w:r>
    </w:p>
    <w:p w:rsidR="00000000" w:rsidRPr="00191D3A" w:rsidP="00191D3A"/>
    <w:sectPr w:rsidSect="00191D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3A" w:rsidRPr="00B82EBA" w:rsidP="00B82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BA" w:rsidP="00191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2EBA" w:rsidP="00191D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82EBA" w:rsidP="00191D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D3A" w:rsidRPr="00B82EBA" w:rsidP="00B82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EBA" w:rsidRPr="002D2AF8" w:rsidP="00191D3A">
    <w:pPr>
      <w:pStyle w:val="Header"/>
      <w:framePr w:wrap="around"/>
    </w:pPr>
    <w:r>
      <w:fldChar w:fldCharType="begin"/>
    </w:r>
    <w:r>
      <w:instrText xml:space="preserve"> TITLE   \* MERGEFORMAT </w:instrText>
    </w:r>
    <w:r>
      <w:fldChar w:fldCharType="separate"/>
    </w:r>
    <w:r>
      <w:t>Assessment Requirements for RIIRAI601D Establish and maintain the site infrastructure and fixed plant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82EBA" w:rsidP="00191D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8A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49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28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D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D3A"/>
    <w:pPr>
      <w:spacing w:before="360" w:after="60"/>
      <w:outlineLvl w:val="0"/>
    </w:pPr>
    <w:rPr>
      <w:sz w:val="32"/>
    </w:rPr>
  </w:style>
  <w:style w:type="paragraph" w:styleId="Heading2">
    <w:name w:val="heading 2"/>
    <w:basedOn w:val="HeadingBase"/>
    <w:next w:val="BodyText"/>
    <w:link w:val="Heading2Char"/>
    <w:qFormat/>
    <w:rsid w:val="00191D3A"/>
    <w:pPr>
      <w:keepLines/>
      <w:spacing w:before="240" w:after="120"/>
      <w:outlineLvl w:val="1"/>
    </w:pPr>
    <w:rPr>
      <w:sz w:val="28"/>
      <w:szCs w:val="40"/>
    </w:rPr>
  </w:style>
  <w:style w:type="paragraph" w:styleId="Heading3">
    <w:name w:val="heading 3"/>
    <w:basedOn w:val="HeadingBase"/>
    <w:next w:val="BodyText"/>
    <w:link w:val="Heading3Char"/>
    <w:qFormat/>
    <w:rsid w:val="00191D3A"/>
    <w:pPr>
      <w:spacing w:before="180" w:after="120"/>
      <w:outlineLvl w:val="2"/>
    </w:pPr>
    <w:rPr>
      <w:spacing w:val="-10"/>
      <w:kern w:val="32"/>
    </w:rPr>
  </w:style>
  <w:style w:type="paragraph" w:styleId="Heading4">
    <w:name w:val="heading 4"/>
    <w:basedOn w:val="HeadingBase"/>
    <w:next w:val="BodyText"/>
    <w:link w:val="Heading4Char"/>
    <w:qFormat/>
    <w:rsid w:val="00191D3A"/>
    <w:pPr>
      <w:spacing w:before="160" w:after="120"/>
      <w:outlineLvl w:val="3"/>
    </w:pPr>
    <w:rPr>
      <w:sz w:val="22"/>
    </w:rPr>
  </w:style>
  <w:style w:type="paragraph" w:styleId="Heading5">
    <w:name w:val="heading 5"/>
    <w:basedOn w:val="HeadingBase"/>
    <w:next w:val="Normal"/>
    <w:link w:val="Heading5Char"/>
    <w:qFormat/>
    <w:rsid w:val="00191D3A"/>
    <w:pPr>
      <w:spacing w:before="80"/>
      <w:outlineLvl w:val="4"/>
    </w:pPr>
    <w:rPr>
      <w:color w:val="918585"/>
      <w:sz w:val="20"/>
    </w:rPr>
  </w:style>
  <w:style w:type="paragraph" w:styleId="Heading6">
    <w:name w:val="heading 6"/>
    <w:basedOn w:val="HeadingBase"/>
    <w:next w:val="Normal"/>
    <w:link w:val="Heading6Char"/>
    <w:qFormat/>
    <w:rsid w:val="00191D3A"/>
    <w:pPr>
      <w:spacing w:before="60"/>
      <w:outlineLvl w:val="5"/>
    </w:pPr>
    <w:rPr>
      <w:color w:val="918585"/>
      <w:sz w:val="20"/>
    </w:rPr>
  </w:style>
  <w:style w:type="paragraph" w:styleId="Heading7">
    <w:name w:val="heading 7"/>
    <w:basedOn w:val="Normal"/>
    <w:next w:val="Normal"/>
    <w:link w:val="Heading7Char"/>
    <w:qFormat/>
    <w:rsid w:val="00191D3A"/>
    <w:pPr>
      <w:ind w:left="720"/>
      <w:outlineLvl w:val="6"/>
    </w:pPr>
    <w:rPr>
      <w:i/>
    </w:rPr>
  </w:style>
  <w:style w:type="paragraph" w:styleId="Heading8">
    <w:name w:val="heading 8"/>
    <w:basedOn w:val="Normal"/>
    <w:next w:val="Normal"/>
    <w:link w:val="Heading8Char"/>
    <w:qFormat/>
    <w:rsid w:val="00191D3A"/>
    <w:pPr>
      <w:ind w:left="720"/>
      <w:outlineLvl w:val="7"/>
    </w:pPr>
    <w:rPr>
      <w:i/>
    </w:rPr>
  </w:style>
  <w:style w:type="paragraph" w:styleId="Heading9">
    <w:name w:val="heading 9"/>
    <w:basedOn w:val="Normal"/>
    <w:next w:val="Normal"/>
    <w:link w:val="Heading9Char"/>
    <w:qFormat/>
    <w:rsid w:val="00191D3A"/>
    <w:pPr>
      <w:ind w:left="720"/>
      <w:outlineLvl w:val="8"/>
    </w:pPr>
    <w:rPr>
      <w:i/>
    </w:rPr>
  </w:style>
  <w:style w:type="character" w:default="1" w:styleId="DefaultParagraphFont">
    <w:name w:val="Default Paragraph Font"/>
    <w:uiPriority w:val="1"/>
    <w:unhideWhenUsed/>
    <w:rsid w:val="00191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D3A"/>
  </w:style>
  <w:style w:type="character" w:customStyle="1" w:styleId="Heading1Char">
    <w:name w:val="Heading 1 Char"/>
    <w:basedOn w:val="DefaultParagraphFont"/>
    <w:link w:val="Heading1"/>
    <w:rsid w:val="00191D3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1D3A"/>
    <w:rPr>
      <w:rFonts w:ascii="Times New Roman" w:eastAsia="Times New Roman" w:hAnsi="Times New Roman" w:cs="Times New Roman"/>
      <w:b/>
      <w:szCs w:val="20"/>
      <w:lang w:eastAsia="en-US"/>
    </w:rPr>
  </w:style>
  <w:style w:type="paragraph" w:styleId="BodyText">
    <w:name w:val="Body Text"/>
    <w:basedOn w:val="Normal"/>
    <w:link w:val="BodyTextChar"/>
    <w:rsid w:val="00191D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D3A"/>
    <w:rPr>
      <w:rFonts w:ascii="Times New Roman" w:eastAsia="Times New Roman" w:hAnsi="Times New Roman" w:cs="Times New Roman"/>
      <w:sz w:val="24"/>
      <w:lang w:eastAsia="en-US"/>
    </w:rPr>
  </w:style>
  <w:style w:type="paragraph" w:styleId="ListBullet">
    <w:name w:val="List Bullet"/>
    <w:basedOn w:val="List"/>
    <w:rsid w:val="00191D3A"/>
    <w:pPr>
      <w:numPr>
        <w:numId w:val="13"/>
      </w:numPr>
      <w:tabs>
        <w:tab w:val="clear" w:pos="340"/>
      </w:tabs>
      <w:spacing w:before="40" w:after="40"/>
    </w:pPr>
  </w:style>
  <w:style w:type="paragraph" w:styleId="ListBullet2">
    <w:name w:val="List Bullet 2"/>
    <w:basedOn w:val="List2"/>
    <w:rsid w:val="00191D3A"/>
    <w:pPr>
      <w:numPr>
        <w:numId w:val="14"/>
      </w:numPr>
      <w:tabs>
        <w:tab w:val="clear" w:pos="680"/>
      </w:tabs>
    </w:pPr>
  </w:style>
  <w:style w:type="paragraph" w:customStyle="1" w:styleId="SuperHeading">
    <w:name w:val="SuperHeading"/>
    <w:basedOn w:val="Normal"/>
    <w:rsid w:val="00191D3A"/>
    <w:pPr>
      <w:spacing w:before="240" w:after="120"/>
      <w:outlineLvl w:val="0"/>
    </w:pPr>
    <w:rPr>
      <w:rFonts w:ascii="Times New Roman" w:hAnsi="Times New Roman"/>
      <w:b/>
      <w:sz w:val="32"/>
    </w:rPr>
  </w:style>
  <w:style w:type="paragraph" w:customStyle="1" w:styleId="AllowPageBreak">
    <w:name w:val="AllowPageBreak"/>
    <w:rsid w:val="00191D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91D3A"/>
    <w:pPr>
      <w:spacing w:before="240" w:after="60"/>
    </w:pPr>
    <w:rPr>
      <w:color w:val="918585"/>
      <w:sz w:val="22"/>
    </w:rPr>
  </w:style>
  <w:style w:type="paragraph" w:styleId="ListBullet3">
    <w:name w:val="List Bullet 3"/>
    <w:basedOn w:val="List3"/>
    <w:rsid w:val="00191D3A"/>
    <w:pPr>
      <w:numPr>
        <w:numId w:val="3"/>
      </w:numPr>
      <w:tabs>
        <w:tab w:val="clear" w:pos="1021"/>
      </w:tabs>
      <w:ind w:left="1037" w:hanging="357"/>
    </w:pPr>
  </w:style>
  <w:style w:type="character" w:customStyle="1" w:styleId="Heading2Char">
    <w:name w:val="Heading 2 Char"/>
    <w:basedOn w:val="DefaultParagraphFont"/>
    <w:link w:val="Heading2"/>
    <w:rsid w:val="00191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D3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1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D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D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D3A"/>
    <w:rPr>
      <w:rFonts w:ascii="Courier New" w:eastAsia="Times New Roman" w:hAnsi="Courier New" w:cs="Times New Roman"/>
      <w:i/>
      <w:szCs w:val="20"/>
      <w:lang w:eastAsia="en-US"/>
    </w:rPr>
  </w:style>
  <w:style w:type="paragraph" w:customStyle="1" w:styleId="HeadingBase">
    <w:name w:val="Heading Base"/>
    <w:rsid w:val="00191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D3A"/>
    <w:pPr>
      <w:tabs>
        <w:tab w:val="right" w:leader="dot" w:pos="9072"/>
      </w:tabs>
      <w:ind w:left="567"/>
    </w:pPr>
    <w:rPr>
      <w:szCs w:val="22"/>
    </w:rPr>
  </w:style>
  <w:style w:type="paragraph" w:customStyle="1" w:styleId="TOCBase">
    <w:name w:val="TOC Base"/>
    <w:rsid w:val="00191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D3A"/>
    <w:pPr>
      <w:tabs>
        <w:tab w:val="right" w:leader="dot" w:pos="9072"/>
      </w:tabs>
      <w:spacing w:before="40" w:after="40"/>
      <w:ind w:left="284"/>
    </w:pPr>
    <w:rPr>
      <w:rFonts w:ascii="Times New Roman" w:hAnsi="Times New Roman"/>
    </w:rPr>
  </w:style>
  <w:style w:type="paragraph" w:styleId="TOC1">
    <w:name w:val="toc 1"/>
    <w:basedOn w:val="TOCBase"/>
    <w:next w:val="Normal"/>
    <w:rsid w:val="00191D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D3A"/>
    <w:rPr>
      <w:rFonts w:ascii="Times New Roman" w:eastAsia="Times New Roman" w:hAnsi="Times New Roman" w:cs="Times New Roman"/>
      <w:sz w:val="16"/>
      <w:lang w:eastAsia="en-US"/>
    </w:rPr>
  </w:style>
  <w:style w:type="paragraph" w:styleId="Title">
    <w:name w:val="Title"/>
    <w:basedOn w:val="HeadingBase"/>
    <w:link w:val="TitleChar"/>
    <w:qFormat/>
    <w:rsid w:val="00191D3A"/>
    <w:pPr>
      <w:spacing w:before="5040"/>
      <w:jc w:val="center"/>
    </w:pPr>
    <w:rPr>
      <w:sz w:val="48"/>
      <w:szCs w:val="72"/>
      <w:lang w:val="en-US"/>
    </w:rPr>
  </w:style>
  <w:style w:type="character" w:customStyle="1" w:styleId="TitleChar">
    <w:name w:val="Title Char"/>
    <w:basedOn w:val="DefaultParagraphFont"/>
    <w:link w:val="Title"/>
    <w:rsid w:val="00191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D3A"/>
    <w:pPr>
      <w:tabs>
        <w:tab w:val="left" w:pos="3600"/>
        <w:tab w:val="left" w:pos="3958"/>
      </w:tabs>
    </w:pPr>
  </w:style>
  <w:style w:type="paragraph" w:styleId="List">
    <w:name w:val="List"/>
    <w:basedOn w:val="BodyText"/>
    <w:next w:val="BodyText"/>
    <w:rsid w:val="00191D3A"/>
    <w:pPr>
      <w:tabs>
        <w:tab w:val="left" w:pos="340"/>
      </w:tabs>
      <w:spacing w:before="60" w:after="60"/>
      <w:ind w:left="340" w:hanging="340"/>
    </w:pPr>
  </w:style>
  <w:style w:type="paragraph" w:customStyle="1" w:styleId="Note">
    <w:name w:val="Note"/>
    <w:basedOn w:val="BodyText"/>
    <w:rsid w:val="00191D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1D3A"/>
    <w:rPr>
      <w:b/>
      <w:spacing w:val="0"/>
    </w:rPr>
  </w:style>
  <w:style w:type="paragraph" w:customStyle="1" w:styleId="SuperTitle">
    <w:name w:val="SuperTitle"/>
    <w:basedOn w:val="Title"/>
    <w:rsid w:val="00191D3A"/>
    <w:pPr>
      <w:framePr w:wrap="auto" w:hAnchor="text" w:y="6049"/>
    </w:pPr>
    <w:rPr>
      <w:color w:val="000000"/>
      <w:sz w:val="40"/>
    </w:rPr>
  </w:style>
  <w:style w:type="paragraph" w:customStyle="1" w:styleId="TOCTitle">
    <w:name w:val="TOCTitle"/>
    <w:basedOn w:val="Heading1"/>
    <w:rsid w:val="00191D3A"/>
    <w:pPr>
      <w:spacing w:after="240"/>
      <w:jc w:val="center"/>
      <w:outlineLvl w:val="9"/>
    </w:pPr>
    <w:rPr>
      <w:caps/>
    </w:rPr>
  </w:style>
  <w:style w:type="paragraph" w:customStyle="1" w:styleId="Version">
    <w:name w:val="Version"/>
    <w:rsid w:val="00191D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D3A"/>
    <w:pPr>
      <w:keepNext w:val="0"/>
      <w:tabs>
        <w:tab w:val="right" w:pos="4176"/>
      </w:tabs>
      <w:ind w:left="198" w:hanging="198"/>
    </w:pPr>
    <w:rPr>
      <w:rFonts w:ascii="Garamond" w:hAnsi="Garamond"/>
    </w:rPr>
  </w:style>
  <w:style w:type="paragraph" w:styleId="IndexHeading">
    <w:name w:val="index heading"/>
    <w:basedOn w:val="Normal"/>
    <w:next w:val="Index1"/>
    <w:semiHidden/>
    <w:rsid w:val="00191D3A"/>
    <w:pPr>
      <w:spacing w:before="120" w:after="120"/>
    </w:pPr>
    <w:rPr>
      <w:rFonts w:ascii="Arial" w:hAnsi="Arial"/>
      <w:b/>
      <w:color w:val="918585"/>
      <w:sz w:val="24"/>
    </w:rPr>
  </w:style>
  <w:style w:type="paragraph" w:styleId="Header">
    <w:name w:val="header"/>
    <w:basedOn w:val="Normal"/>
    <w:link w:val="HeaderChar"/>
    <w:rsid w:val="00191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D3A"/>
    <w:rPr>
      <w:rFonts w:ascii="Times New Roman" w:eastAsia="Times New Roman" w:hAnsi="Times New Roman" w:cs="Times New Roman"/>
      <w:sz w:val="16"/>
      <w:szCs w:val="20"/>
      <w:lang w:val="en-GB" w:eastAsia="en-US"/>
    </w:rPr>
  </w:style>
  <w:style w:type="paragraph" w:customStyle="1" w:styleId="Chapter">
    <w:name w:val="Chapter"/>
    <w:basedOn w:val="Normal"/>
    <w:rsid w:val="00191D3A"/>
    <w:pPr>
      <w:spacing w:before="240"/>
    </w:pPr>
    <w:rPr>
      <w:rFonts w:ascii="Times New Roman" w:hAnsi="Times New Roman"/>
      <w:smallCaps/>
      <w:spacing w:val="80"/>
      <w:sz w:val="28"/>
    </w:rPr>
  </w:style>
  <w:style w:type="paragraph" w:customStyle="1" w:styleId="InChapter">
    <w:name w:val="InChapter"/>
    <w:basedOn w:val="Heading3"/>
    <w:rsid w:val="00191D3A"/>
    <w:pPr>
      <w:spacing w:after="240"/>
      <w:outlineLvl w:val="9"/>
    </w:pPr>
    <w:rPr>
      <w:noProof/>
    </w:rPr>
  </w:style>
  <w:style w:type="paragraph" w:styleId="Index2">
    <w:name w:val="index 2"/>
    <w:basedOn w:val="Normal"/>
    <w:next w:val="Normal"/>
    <w:semiHidden/>
    <w:rsid w:val="00191D3A"/>
    <w:pPr>
      <w:tabs>
        <w:tab w:val="right" w:pos="4176"/>
      </w:tabs>
      <w:ind w:left="568" w:hanging="284"/>
    </w:pPr>
    <w:rPr>
      <w:rFonts w:ascii="Garamond" w:hAnsi="Garamond"/>
    </w:rPr>
  </w:style>
  <w:style w:type="paragraph" w:customStyle="1" w:styleId="Byline">
    <w:name w:val="Byline"/>
    <w:rsid w:val="00191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D3A"/>
    <w:pPr>
      <w:tabs>
        <w:tab w:val="clear" w:pos="3600"/>
        <w:tab w:val="clear" w:pos="3958"/>
      </w:tabs>
      <w:jc w:val="right"/>
    </w:pPr>
  </w:style>
  <w:style w:type="character" w:styleId="Emphasis">
    <w:name w:val="Emphasis"/>
    <w:basedOn w:val="DefaultParagraphFont"/>
    <w:qFormat/>
    <w:rsid w:val="00191D3A"/>
    <w:rPr>
      <w:i/>
    </w:rPr>
  </w:style>
  <w:style w:type="paragraph" w:styleId="Caption">
    <w:name w:val="caption"/>
    <w:basedOn w:val="BodyText"/>
    <w:next w:val="Normal"/>
    <w:qFormat/>
    <w:rsid w:val="00191D3A"/>
    <w:pPr>
      <w:framePr w:w="2268" w:hSpace="181" w:vSpace="181" w:wrap="around" w:vAnchor="text" w:hAnchor="page" w:x="1135" w:y="285" w:anchorLock="1"/>
    </w:pPr>
    <w:rPr>
      <w:i/>
    </w:rPr>
  </w:style>
  <w:style w:type="paragraph" w:customStyle="1" w:styleId="MiniTOCTitle">
    <w:name w:val="MiniTOCTitle"/>
    <w:basedOn w:val="Heading4"/>
    <w:rsid w:val="00191D3A"/>
    <w:pPr>
      <w:spacing w:before="240"/>
      <w:outlineLvl w:val="9"/>
    </w:pPr>
    <w:rPr>
      <w:noProof/>
      <w:sz w:val="24"/>
    </w:rPr>
  </w:style>
  <w:style w:type="paragraph" w:customStyle="1" w:styleId="MiniTOCItem">
    <w:name w:val="MiniTOCItem"/>
    <w:basedOn w:val="ListBullet"/>
    <w:rsid w:val="00191D3A"/>
    <w:pPr>
      <w:numPr>
        <w:numId w:val="0"/>
      </w:numPr>
      <w:tabs>
        <w:tab w:val="right" w:leader="dot" w:pos="6521"/>
      </w:tabs>
      <w:spacing w:before="0" w:after="0"/>
    </w:pPr>
  </w:style>
  <w:style w:type="paragraph" w:customStyle="1" w:styleId="TOFTitle">
    <w:name w:val="TOFTitle"/>
    <w:basedOn w:val="TOCTitle"/>
    <w:rsid w:val="00191D3A"/>
  </w:style>
  <w:style w:type="paragraph" w:styleId="TableofFigures">
    <w:name w:val="table of figures"/>
    <w:basedOn w:val="Normal"/>
    <w:next w:val="Normal"/>
    <w:semiHidden/>
    <w:rsid w:val="00191D3A"/>
    <w:pPr>
      <w:tabs>
        <w:tab w:val="right" w:leader="dot" w:pos="9072"/>
      </w:tabs>
      <w:ind w:left="970" w:hanging="403"/>
    </w:pPr>
    <w:rPr>
      <w:rFonts w:ascii="Times New Roman" w:hAnsi="Times New Roman"/>
      <w:b/>
    </w:rPr>
  </w:style>
  <w:style w:type="paragraph" w:styleId="ListNumber">
    <w:name w:val="List Number"/>
    <w:basedOn w:val="List"/>
    <w:rsid w:val="00191D3A"/>
    <w:pPr>
      <w:numPr>
        <w:numId w:val="16"/>
      </w:numPr>
      <w:tabs>
        <w:tab w:val="clear" w:pos="340"/>
      </w:tabs>
    </w:pPr>
  </w:style>
  <w:style w:type="character" w:customStyle="1" w:styleId="WingdingSymbols">
    <w:name w:val="Wingding Symbols"/>
    <w:rsid w:val="00191D3A"/>
    <w:rPr>
      <w:rFonts w:ascii="Wingdings" w:hAnsi="Wingdings"/>
    </w:rPr>
  </w:style>
  <w:style w:type="paragraph" w:customStyle="1" w:styleId="TableHeading">
    <w:name w:val="Table Heading"/>
    <w:basedOn w:val="HeadingBase"/>
    <w:rsid w:val="00191D3A"/>
    <w:pPr>
      <w:keepLines/>
      <w:pBdr>
        <w:bottom w:val="single" w:sz="6" w:space="1" w:color="918585"/>
      </w:pBdr>
      <w:spacing w:before="240"/>
    </w:pPr>
  </w:style>
  <w:style w:type="character" w:customStyle="1" w:styleId="HotSpot">
    <w:name w:val="HotSpot"/>
    <w:rsid w:val="00191D3A"/>
    <w:rPr>
      <w:color w:val="0033CC"/>
      <w:u w:val="none"/>
    </w:rPr>
  </w:style>
  <w:style w:type="paragraph" w:customStyle="1" w:styleId="BodyTextRight">
    <w:name w:val="Body Text Right"/>
    <w:basedOn w:val="BodyText"/>
    <w:rsid w:val="00191D3A"/>
    <w:pPr>
      <w:spacing w:before="0" w:after="0"/>
      <w:jc w:val="right"/>
    </w:pPr>
  </w:style>
  <w:style w:type="paragraph" w:styleId="Index3">
    <w:name w:val="index 3"/>
    <w:basedOn w:val="ListNumber2"/>
    <w:next w:val="Normal"/>
    <w:semiHidden/>
    <w:rsid w:val="00191D3A"/>
    <w:pPr>
      <w:numPr>
        <w:numId w:val="0"/>
      </w:numPr>
      <w:tabs>
        <w:tab w:val="right" w:leader="dot" w:pos="4176"/>
      </w:tabs>
    </w:pPr>
  </w:style>
  <w:style w:type="paragraph" w:styleId="ListNumber2">
    <w:name w:val="List Number 2"/>
    <w:basedOn w:val="List2"/>
    <w:rsid w:val="00191D3A"/>
    <w:pPr>
      <w:numPr>
        <w:numId w:val="11"/>
      </w:numPr>
      <w:tabs>
        <w:tab w:val="clear" w:pos="1060"/>
      </w:tabs>
    </w:pPr>
  </w:style>
  <w:style w:type="paragraph" w:customStyle="1" w:styleId="MarginNote">
    <w:name w:val="Margin Note"/>
    <w:basedOn w:val="BodyText"/>
    <w:rsid w:val="00191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D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D3A"/>
    <w:rPr>
      <w:sz w:val="32"/>
    </w:rPr>
  </w:style>
  <w:style w:type="paragraph" w:customStyle="1" w:styleId="HeadingProcedure">
    <w:name w:val="Heading Procedure"/>
    <w:basedOn w:val="HeadingBase"/>
    <w:next w:val="Normal"/>
    <w:rsid w:val="00191D3A"/>
    <w:pPr>
      <w:tabs>
        <w:tab w:val="left" w:pos="0"/>
      </w:tabs>
      <w:spacing w:before="120" w:after="60"/>
    </w:pPr>
    <w:rPr>
      <w:i/>
      <w:color w:val="918585"/>
      <w:sz w:val="22"/>
    </w:rPr>
  </w:style>
  <w:style w:type="paragraph" w:customStyle="1" w:styleId="TableBodyText">
    <w:name w:val="Table Body Text"/>
    <w:basedOn w:val="BodyText"/>
    <w:rsid w:val="00191D3A"/>
    <w:pPr>
      <w:spacing w:before="60" w:after="60"/>
    </w:pPr>
  </w:style>
  <w:style w:type="paragraph" w:styleId="ListContinue">
    <w:name w:val="List Continue"/>
    <w:basedOn w:val="List"/>
    <w:rsid w:val="00191D3A"/>
    <w:pPr>
      <w:ind w:firstLine="0"/>
    </w:pPr>
  </w:style>
  <w:style w:type="paragraph" w:customStyle="1" w:styleId="ListNote">
    <w:name w:val="List Note"/>
    <w:basedOn w:val="List"/>
    <w:rsid w:val="00191D3A"/>
    <w:pPr>
      <w:pBdr>
        <w:top w:val="single" w:sz="6" w:space="2" w:color="918585"/>
        <w:bottom w:val="single" w:sz="6" w:space="2" w:color="918585"/>
      </w:pBdr>
      <w:tabs>
        <w:tab w:val="left" w:pos="1021"/>
      </w:tabs>
      <w:ind w:firstLine="0"/>
    </w:pPr>
  </w:style>
  <w:style w:type="paragraph" w:customStyle="1" w:styleId="Warning">
    <w:name w:val="Warning"/>
    <w:basedOn w:val="BodyText"/>
    <w:rsid w:val="00191D3A"/>
    <w:pPr>
      <w:shd w:val="clear" w:color="auto" w:fill="D9D9D9"/>
      <w:tabs>
        <w:tab w:val="left" w:pos="992"/>
      </w:tabs>
      <w:ind w:left="119" w:right="119"/>
    </w:pPr>
    <w:rPr>
      <w:sz w:val="20"/>
    </w:rPr>
  </w:style>
  <w:style w:type="paragraph" w:customStyle="1" w:styleId="MarginIcons">
    <w:name w:val="Margin Icons"/>
    <w:basedOn w:val="BodyText"/>
    <w:rsid w:val="00191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D3A"/>
    <w:rPr>
      <w:rFonts w:ascii="Courier New" w:hAnsi="Courier New"/>
    </w:rPr>
  </w:style>
  <w:style w:type="paragraph" w:customStyle="1" w:styleId="NoteBullet">
    <w:name w:val="Note Bullet"/>
    <w:basedOn w:val="Note"/>
    <w:rsid w:val="00191D3A"/>
    <w:pPr>
      <w:tabs>
        <w:tab w:val="clear" w:pos="680"/>
      </w:tabs>
      <w:spacing w:before="60" w:after="60"/>
    </w:pPr>
  </w:style>
  <w:style w:type="paragraph" w:customStyle="1" w:styleId="SubHeading2">
    <w:name w:val="SubHeading2"/>
    <w:basedOn w:val="HeadingBase"/>
    <w:rsid w:val="00191D3A"/>
    <w:pPr>
      <w:spacing w:before="240" w:after="60"/>
    </w:pPr>
    <w:rPr>
      <w:sz w:val="20"/>
    </w:rPr>
  </w:style>
  <w:style w:type="paragraph" w:customStyle="1" w:styleId="SideHeading">
    <w:name w:val="Side Heading"/>
    <w:basedOn w:val="HeadingBase"/>
    <w:rsid w:val="00191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D3A"/>
    <w:pPr>
      <w:numPr>
        <w:numId w:val="12"/>
      </w:numPr>
    </w:pPr>
  </w:style>
  <w:style w:type="paragraph" w:styleId="PlainText">
    <w:name w:val="Plain Text"/>
    <w:basedOn w:val="Normal"/>
    <w:link w:val="PlainTextChar"/>
    <w:rsid w:val="00191D3A"/>
    <w:rPr>
      <w:sz w:val="20"/>
    </w:rPr>
  </w:style>
  <w:style w:type="character" w:customStyle="1" w:styleId="PlainTextChar">
    <w:name w:val="Plain Text Char"/>
    <w:basedOn w:val="DefaultParagraphFont"/>
    <w:link w:val="PlainText"/>
    <w:rsid w:val="00191D3A"/>
    <w:rPr>
      <w:rFonts w:ascii="Courier New" w:eastAsia="Times New Roman" w:hAnsi="Courier New" w:cs="Times New Roman"/>
      <w:sz w:val="20"/>
      <w:szCs w:val="20"/>
      <w:lang w:eastAsia="en-US"/>
    </w:rPr>
  </w:style>
  <w:style w:type="character" w:customStyle="1" w:styleId="MenuOption">
    <w:name w:val="Menu Option"/>
    <w:basedOn w:val="DefaultParagraphFont"/>
    <w:rsid w:val="00191D3A"/>
    <w:rPr>
      <w:b/>
      <w:smallCaps/>
    </w:rPr>
  </w:style>
  <w:style w:type="paragraph" w:customStyle="1" w:styleId="TableListNumber">
    <w:name w:val="Table List Number"/>
    <w:basedOn w:val="ListNumber"/>
    <w:rsid w:val="00191D3A"/>
    <w:pPr>
      <w:numPr>
        <w:numId w:val="0"/>
      </w:numPr>
    </w:pPr>
  </w:style>
  <w:style w:type="paragraph" w:styleId="TOC4">
    <w:name w:val="toc 4"/>
    <w:basedOn w:val="TOCBase"/>
    <w:next w:val="Normal"/>
    <w:semiHidden/>
    <w:rsid w:val="00191D3A"/>
    <w:pPr>
      <w:tabs>
        <w:tab w:val="right" w:leader="dot" w:pos="9071"/>
      </w:tabs>
      <w:ind w:left="1701"/>
    </w:pPr>
  </w:style>
  <w:style w:type="paragraph" w:customStyle="1" w:styleId="ListAlpha">
    <w:name w:val="List Alpha"/>
    <w:basedOn w:val="List"/>
    <w:rsid w:val="00191D3A"/>
    <w:pPr>
      <w:numPr>
        <w:numId w:val="10"/>
      </w:numPr>
    </w:pPr>
  </w:style>
  <w:style w:type="paragraph" w:customStyle="1" w:styleId="ListAlpha2">
    <w:name w:val="List Alpha 2"/>
    <w:basedOn w:val="List2"/>
    <w:rsid w:val="00191D3A"/>
    <w:pPr>
      <w:numPr>
        <w:numId w:val="9"/>
      </w:numPr>
    </w:pPr>
  </w:style>
  <w:style w:type="paragraph" w:styleId="List2">
    <w:name w:val="List 2"/>
    <w:basedOn w:val="BodyText"/>
    <w:rsid w:val="00191D3A"/>
    <w:pPr>
      <w:tabs>
        <w:tab w:val="left" w:pos="680"/>
      </w:tabs>
      <w:spacing w:before="60" w:after="60"/>
      <w:ind w:left="680" w:hanging="340"/>
    </w:pPr>
  </w:style>
  <w:style w:type="paragraph" w:styleId="List3">
    <w:name w:val="List 3"/>
    <w:basedOn w:val="BodyText"/>
    <w:rsid w:val="00191D3A"/>
    <w:pPr>
      <w:tabs>
        <w:tab w:val="left" w:pos="1021"/>
      </w:tabs>
      <w:spacing w:before="60" w:after="60"/>
      <w:ind w:left="1020" w:hanging="340"/>
    </w:pPr>
  </w:style>
  <w:style w:type="paragraph" w:styleId="List4">
    <w:name w:val="List 4"/>
    <w:basedOn w:val="BodyText"/>
    <w:rsid w:val="00191D3A"/>
    <w:pPr>
      <w:tabs>
        <w:tab w:val="left" w:pos="1361"/>
      </w:tabs>
      <w:spacing w:before="60" w:after="60"/>
      <w:ind w:left="1361" w:hanging="340"/>
    </w:pPr>
  </w:style>
  <w:style w:type="paragraph" w:styleId="List5">
    <w:name w:val="List 5"/>
    <w:basedOn w:val="BodyText"/>
    <w:rsid w:val="00191D3A"/>
    <w:pPr>
      <w:tabs>
        <w:tab w:val="left" w:pos="1701"/>
      </w:tabs>
      <w:spacing w:before="60" w:after="60"/>
      <w:ind w:left="1701" w:hanging="340"/>
    </w:pPr>
  </w:style>
  <w:style w:type="paragraph" w:styleId="ListBullet4">
    <w:name w:val="List Bullet 4"/>
    <w:basedOn w:val="List4"/>
    <w:rsid w:val="00191D3A"/>
    <w:pPr>
      <w:numPr>
        <w:numId w:val="4"/>
      </w:numPr>
      <w:tabs>
        <w:tab w:val="clear" w:pos="1361"/>
      </w:tabs>
    </w:pPr>
  </w:style>
  <w:style w:type="paragraph" w:styleId="ListBullet5">
    <w:name w:val="List Bullet 5"/>
    <w:basedOn w:val="List5"/>
    <w:rsid w:val="00191D3A"/>
    <w:pPr>
      <w:numPr>
        <w:numId w:val="5"/>
      </w:numPr>
    </w:pPr>
  </w:style>
  <w:style w:type="paragraph" w:styleId="ListContinue2">
    <w:name w:val="List Continue 2"/>
    <w:basedOn w:val="List2"/>
    <w:rsid w:val="00191D3A"/>
    <w:pPr>
      <w:ind w:firstLine="0"/>
    </w:pPr>
  </w:style>
  <w:style w:type="paragraph" w:styleId="ListContinue3">
    <w:name w:val="List Continue 3"/>
    <w:basedOn w:val="List3"/>
    <w:rsid w:val="00191D3A"/>
    <w:pPr>
      <w:ind w:left="1021" w:firstLine="0"/>
    </w:pPr>
  </w:style>
  <w:style w:type="paragraph" w:styleId="ListContinue4">
    <w:name w:val="List Continue 4"/>
    <w:basedOn w:val="List4"/>
    <w:rsid w:val="00191D3A"/>
    <w:pPr>
      <w:ind w:firstLine="0"/>
    </w:pPr>
  </w:style>
  <w:style w:type="paragraph" w:styleId="ListContinue5">
    <w:name w:val="List Continue 5"/>
    <w:basedOn w:val="List5"/>
    <w:rsid w:val="00191D3A"/>
    <w:pPr>
      <w:ind w:firstLine="0"/>
    </w:pPr>
  </w:style>
  <w:style w:type="paragraph" w:styleId="ListNumber3">
    <w:name w:val="List Number 3"/>
    <w:basedOn w:val="List3"/>
    <w:rsid w:val="00191D3A"/>
    <w:pPr>
      <w:numPr>
        <w:numId w:val="6"/>
      </w:numPr>
    </w:pPr>
  </w:style>
  <w:style w:type="paragraph" w:styleId="ListNumber4">
    <w:name w:val="List Number 4"/>
    <w:basedOn w:val="List4"/>
    <w:rsid w:val="00191D3A"/>
    <w:pPr>
      <w:numPr>
        <w:numId w:val="7"/>
      </w:numPr>
    </w:pPr>
  </w:style>
  <w:style w:type="paragraph" w:styleId="ListNumber5">
    <w:name w:val="List Number 5"/>
    <w:basedOn w:val="List5"/>
    <w:rsid w:val="00191D3A"/>
    <w:pPr>
      <w:numPr>
        <w:numId w:val="8"/>
      </w:numPr>
    </w:pPr>
  </w:style>
  <w:style w:type="paragraph" w:styleId="BlockText">
    <w:name w:val="Block Text"/>
    <w:basedOn w:val="Normal"/>
    <w:rsid w:val="00191D3A"/>
    <w:pPr>
      <w:spacing w:after="120"/>
      <w:ind w:left="1440" w:right="1440"/>
    </w:pPr>
  </w:style>
  <w:style w:type="character" w:customStyle="1" w:styleId="Subscript">
    <w:name w:val="Subscript"/>
    <w:basedOn w:val="DefaultParagraphFont"/>
    <w:rsid w:val="00191D3A"/>
    <w:rPr>
      <w:sz w:val="16"/>
      <w:vertAlign w:val="subscript"/>
    </w:rPr>
  </w:style>
  <w:style w:type="character" w:customStyle="1" w:styleId="Superscript">
    <w:name w:val="Superscript"/>
    <w:basedOn w:val="DefaultParagraphFont"/>
    <w:rsid w:val="00191D3A"/>
    <w:rPr>
      <w:sz w:val="16"/>
      <w:vertAlign w:val="superscript"/>
    </w:rPr>
  </w:style>
  <w:style w:type="character" w:customStyle="1" w:styleId="Symbols">
    <w:name w:val="Symbols"/>
    <w:basedOn w:val="DefaultParagraphFont"/>
    <w:rsid w:val="00191D3A"/>
    <w:rPr>
      <w:rFonts w:ascii="Symbol" w:hAnsi="Symbol"/>
    </w:rPr>
  </w:style>
  <w:style w:type="character" w:customStyle="1" w:styleId="MenuOptions">
    <w:name w:val="Menu Options"/>
    <w:basedOn w:val="DefaultParagraphFont"/>
    <w:rsid w:val="00191D3A"/>
    <w:rPr>
      <w:rFonts w:ascii="Arial Narrow" w:hAnsi="Arial Narrow"/>
      <w:smallCaps/>
    </w:rPr>
  </w:style>
  <w:style w:type="character" w:customStyle="1" w:styleId="Buttons">
    <w:name w:val="Buttons"/>
    <w:basedOn w:val="DefaultParagraphFont"/>
    <w:rsid w:val="00191D3A"/>
    <w:rPr>
      <w:b/>
    </w:rPr>
  </w:style>
  <w:style w:type="character" w:customStyle="1" w:styleId="Underlined">
    <w:name w:val="Underlined"/>
    <w:basedOn w:val="DefaultParagraphFont"/>
    <w:rsid w:val="00191D3A"/>
    <w:rPr>
      <w:u w:val="single"/>
    </w:rPr>
  </w:style>
  <w:style w:type="paragraph" w:customStyle="1" w:styleId="TableBodyTextRight">
    <w:name w:val="Table Body Text Right"/>
    <w:basedOn w:val="TableBodyText"/>
    <w:rsid w:val="00191D3A"/>
    <w:pPr>
      <w:widowControl w:val="0"/>
      <w:autoSpaceDE w:val="0"/>
      <w:autoSpaceDN w:val="0"/>
      <w:adjustRightInd w:val="0"/>
      <w:jc w:val="right"/>
    </w:pPr>
    <w:rPr>
      <w:rFonts w:cs="Arial"/>
      <w:szCs w:val="18"/>
    </w:rPr>
  </w:style>
  <w:style w:type="paragraph" w:customStyle="1" w:styleId="CopyrightText">
    <w:name w:val="Copyright Text"/>
    <w:basedOn w:val="BodyText"/>
    <w:rsid w:val="00191D3A"/>
    <w:rPr>
      <w:sz w:val="18"/>
    </w:rPr>
  </w:style>
  <w:style w:type="paragraph" w:customStyle="1" w:styleId="BodySmallRight">
    <w:name w:val="Body Small Right"/>
    <w:basedOn w:val="BodyTextRight"/>
    <w:rsid w:val="00191D3A"/>
    <w:rPr>
      <w:sz w:val="18"/>
      <w:szCs w:val="18"/>
    </w:rPr>
  </w:style>
  <w:style w:type="paragraph" w:customStyle="1" w:styleId="MarginEdition">
    <w:name w:val="Margin Edition"/>
    <w:basedOn w:val="MarginNote"/>
    <w:rsid w:val="00191D3A"/>
    <w:pPr>
      <w:spacing w:before="0" w:after="0"/>
    </w:pPr>
    <w:rPr>
      <w:rFonts w:ascii="Times New Roman" w:hAnsi="Times New Roman"/>
      <w:color w:val="999999"/>
    </w:rPr>
  </w:style>
  <w:style w:type="paragraph" w:customStyle="1" w:styleId="Spacer">
    <w:name w:val="Spacer"/>
    <w:basedOn w:val="Normal"/>
    <w:rsid w:val="00191D3A"/>
    <w:rPr>
      <w:sz w:val="2"/>
      <w:szCs w:val="2"/>
    </w:rPr>
  </w:style>
  <w:style w:type="character" w:customStyle="1" w:styleId="Small">
    <w:name w:val="Small"/>
    <w:basedOn w:val="DefaultParagraphFont"/>
    <w:rsid w:val="00191D3A"/>
    <w:rPr>
      <w:sz w:val="16"/>
    </w:rPr>
  </w:style>
  <w:style w:type="paragraph" w:customStyle="1" w:styleId="WideTable">
    <w:name w:val="Wide Table"/>
    <w:basedOn w:val="Normal"/>
    <w:rsid w:val="00191D3A"/>
    <w:pPr>
      <w:ind w:left="-1418"/>
    </w:pPr>
    <w:rPr>
      <w:sz w:val="2"/>
      <w:szCs w:val="2"/>
    </w:rPr>
  </w:style>
  <w:style w:type="character" w:styleId="PageNumber">
    <w:name w:val="page number"/>
    <w:basedOn w:val="DefaultParagraphFont"/>
    <w:rsid w:val="00191D3A"/>
  </w:style>
  <w:style w:type="paragraph" w:styleId="Quote">
    <w:name w:val="Quote"/>
    <w:basedOn w:val="Heading1"/>
    <w:link w:val="QuoteChar"/>
    <w:qFormat/>
    <w:rsid w:val="00191D3A"/>
    <w:rPr>
      <w:b w:val="0"/>
      <w:sz w:val="72"/>
      <w:szCs w:val="72"/>
      <w:lang w:val="en-NZ"/>
    </w:rPr>
  </w:style>
  <w:style w:type="character" w:customStyle="1" w:styleId="QuoteChar">
    <w:name w:val="Quote Char"/>
    <w:basedOn w:val="DefaultParagraphFont"/>
    <w:link w:val="Quote"/>
    <w:rsid w:val="00191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D3A"/>
    <w:pPr>
      <w:pageBreakBefore/>
    </w:pPr>
  </w:style>
  <w:style w:type="paragraph" w:customStyle="1" w:styleId="Border">
    <w:name w:val="Border"/>
    <w:basedOn w:val="Normal"/>
    <w:qFormat/>
    <w:rsid w:val="00191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D3A"/>
    <w:rPr>
      <w:b/>
      <w:bCs/>
      <w:i/>
      <w:iCs/>
      <w:color w:val="auto"/>
    </w:rPr>
  </w:style>
  <w:style w:type="paragraph" w:styleId="IntenseQuote">
    <w:name w:val="Intense Quote"/>
    <w:basedOn w:val="Normal"/>
    <w:next w:val="Normal"/>
    <w:link w:val="IntenseQuoteChar"/>
    <w:uiPriority w:val="30"/>
    <w:qFormat/>
    <w:rsid w:val="00191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D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D3A"/>
    <w:rPr>
      <w:smallCaps/>
      <w:color w:val="auto"/>
      <w:u w:val="single"/>
    </w:rPr>
  </w:style>
  <w:style w:type="character" w:styleId="IntenseReference">
    <w:name w:val="Intense Reference"/>
    <w:basedOn w:val="DefaultParagraphFont"/>
    <w:uiPriority w:val="32"/>
    <w:qFormat/>
    <w:rsid w:val="00191D3A"/>
    <w:rPr>
      <w:b/>
      <w:bCs/>
      <w:smallCaps/>
      <w:color w:val="auto"/>
      <w:spacing w:val="5"/>
      <w:u w:val="single"/>
    </w:rPr>
  </w:style>
  <w:style w:type="paragraph" w:customStyle="1" w:styleId="2ColumnHeading">
    <w:name w:val="2Column Heading"/>
    <w:basedOn w:val="BodyText"/>
    <w:qFormat/>
    <w:rsid w:val="00191D3A"/>
    <w:pPr>
      <w:spacing w:after="60"/>
      <w:ind w:left="-2268"/>
    </w:pPr>
    <w:rPr>
      <w:b/>
    </w:rPr>
  </w:style>
  <w:style w:type="paragraph" w:customStyle="1" w:styleId="Heading1TOC">
    <w:name w:val="Heading1 TOC"/>
    <w:basedOn w:val="Normal"/>
    <w:qFormat/>
    <w:rsid w:val="00191D3A"/>
    <w:pPr>
      <w:spacing w:before="240" w:after="120"/>
    </w:pPr>
    <w:rPr>
      <w:rFonts w:ascii="Times New Roman" w:hAnsi="Times New Roman"/>
      <w:b/>
      <w:sz w:val="32"/>
    </w:rPr>
  </w:style>
  <w:style w:type="paragraph" w:customStyle="1" w:styleId="Heading2TOC">
    <w:name w:val="Heading2 TOC"/>
    <w:basedOn w:val="Normal"/>
    <w:qFormat/>
    <w:rsid w:val="00191D3A"/>
    <w:pPr>
      <w:spacing w:before="240" w:after="60"/>
    </w:pPr>
    <w:rPr>
      <w:rFonts w:ascii="Times New Roman" w:hAnsi="Times New Roman"/>
      <w:b/>
      <w:sz w:val="28"/>
    </w:rPr>
  </w:style>
  <w:style w:type="character" w:customStyle="1" w:styleId="Underline">
    <w:name w:val="Underline"/>
    <w:basedOn w:val="DefaultParagraphFont"/>
    <w:qFormat/>
    <w:rsid w:val="00191D3A"/>
    <w:rPr>
      <w:u w:val="single"/>
    </w:rPr>
  </w:style>
  <w:style w:type="character" w:customStyle="1" w:styleId="BoldandItalics">
    <w:name w:val="Bold and Italics"/>
    <w:qFormat/>
    <w:rsid w:val="00191D3A"/>
    <w:rPr>
      <w:b/>
      <w:i/>
      <w:u w:val="none"/>
    </w:rPr>
  </w:style>
  <w:style w:type="paragraph" w:styleId="BalloonText">
    <w:name w:val="Balloon Text"/>
    <w:basedOn w:val="Normal"/>
    <w:link w:val="BalloonTextChar"/>
    <w:rsid w:val="00191D3A"/>
    <w:rPr>
      <w:rFonts w:ascii="Tahoma" w:hAnsi="Tahoma" w:cs="Tahoma"/>
      <w:sz w:val="16"/>
      <w:szCs w:val="16"/>
    </w:rPr>
  </w:style>
  <w:style w:type="character" w:customStyle="1" w:styleId="BalloonTextChar">
    <w:name w:val="Balloon Text Char"/>
    <w:basedOn w:val="DefaultParagraphFont"/>
    <w:link w:val="BalloonText"/>
    <w:rsid w:val="00191D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D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D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D3A"/>
    <w:rPr>
      <w:b/>
      <w:color w:val="660033"/>
      <w:spacing w:val="0"/>
    </w:rPr>
  </w:style>
  <w:style w:type="paragraph" w:customStyle="1" w:styleId="Nameditemlist">
    <w:name w:val="Named item list"/>
    <w:basedOn w:val="BodyText"/>
    <w:qFormat/>
    <w:rsid w:val="00191D3A"/>
    <w:pPr>
      <w:tabs>
        <w:tab w:val="left" w:pos="2835"/>
      </w:tabs>
      <w:ind w:left="2835" w:hanging="2835"/>
    </w:pPr>
  </w:style>
  <w:style w:type="paragraph" w:customStyle="1" w:styleId="BodyTextnopadding">
    <w:name w:val="Body Text no padding"/>
    <w:basedOn w:val="BodyText"/>
    <w:qFormat/>
    <w:rsid w:val="00191D3A"/>
    <w:pPr>
      <w:spacing w:before="0" w:after="0"/>
    </w:pPr>
  </w:style>
  <w:style w:type="paragraph" w:customStyle="1" w:styleId="BodyTextBold">
    <w:name w:val="Body Text Bold"/>
    <w:basedOn w:val="BodyText"/>
    <w:qFormat/>
    <w:rsid w:val="00191D3A"/>
    <w:rPr>
      <w:b/>
    </w:rPr>
  </w:style>
  <w:style w:type="character" w:styleId="Hyperlink">
    <w:name w:val="Hyperlink"/>
    <w:basedOn w:val="DefaultParagraphFont"/>
    <w:uiPriority w:val="99"/>
    <w:unhideWhenUsed/>
    <w:rsid w:val="00B82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6167</Characters>
  <Application>Microsoft Office Word</Application>
  <DocSecurity>0</DocSecurity>
  <Lines>166</Lines>
  <Paragraphs>118</Paragraphs>
  <ScaleCrop>false</ScaleCrop>
  <Company>Author-it Software Corporation Ltd.</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RIIRAI601D Establish and maintain the site infrastructure and fixed plant systems</dc:title>
  <dc:subject>Approved</dc:subject>
  <dc:creator>PwC’s Skills for Australia</dc:creator>
  <cp:keywords>Release: 3</cp:keywords>
  <dc:description>Review Date: 12 April 2008</dc:description>
  <cp:lastModifiedBy>HSD_TPCMSd.prod</cp:lastModifiedBy>
  <cp:revision>3</cp:revision>
  <dcterms:created xsi:type="dcterms:W3CDTF">2022-10-18T14:55:00Z</dcterms:created>
  <dcterms:modified xsi:type="dcterms:W3CDTF">2022-10-18T14:55:00Z</dcterms:modified>
</cp:coreProperties>
</file>