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03898" w:rsidP="00D03898">
      <w:pPr>
        <w:pStyle w:val="Title"/>
      </w:pPr>
      <w:r>
        <w:fldChar w:fldCharType="begin"/>
      </w:r>
      <w:r>
        <w:instrText xml:space="preserve"> TITLE   \* MERGEFORMAT </w:instrText>
      </w:r>
      <w:r>
        <w:fldChar w:fldCharType="separate"/>
      </w:r>
      <w:r>
        <w:t>Assessment Requirements for RIIRAI510D Implement, monitor, rectify and report on interfaces between electrical and mechanical componentry</w:t>
      </w:r>
      <w:r>
        <w:fldChar w:fldCharType="end"/>
      </w:r>
    </w:p>
    <w:p w:rsidR="00D03898" w:rsidP="00D03898">
      <w:pPr>
        <w:pStyle w:val="Version"/>
        <w:sectPr w:rsidSect="00A00F0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A00F02" w:rsidP="00A00F02">
      <w:pPr>
        <w:pStyle w:val="SuperHeading"/>
      </w:pPr>
      <w:r w:rsidRPr="00A00F02">
        <w:t>Assessment Requirements for RIIRAI510D Implement, monitor, rectify and report on interfaces between electrical and mechanical componentry</w:t>
      </w:r>
    </w:p>
    <w:p w:rsidR="00000000" w:rsidRPr="00A00F02" w:rsidP="00A00F02">
      <w:pPr>
        <w:pStyle w:val="Heading1"/>
      </w:pPr>
      <w:bookmarkStart w:id="1" w:name="O_686304"/>
      <w:bookmarkEnd w:id="1"/>
      <w:r w:rsidRPr="00A00F02">
        <w:t>Modification History</w:t>
      </w:r>
    </w:p>
    <w:tbl>
      <w:tblPr>
        <w:tblW w:w="0" w:type="auto"/>
        <w:tblCellMar>
          <w:left w:w="62" w:type="dxa"/>
          <w:right w:w="62" w:type="dxa"/>
        </w:tblCellMar>
        <w:tblLook w:val="0000"/>
      </w:tblPr>
      <w:tblGrid>
        <w:gridCol w:w="1107"/>
        <w:gridCol w:w="8089"/>
      </w:tblGrid>
      <w:tr w:rsidTr="00D0389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0F02">
            <w:pPr>
              <w:pStyle w:val="Heading4"/>
              <w:rPr>
                <w:lang w:val="en-NZ"/>
              </w:rPr>
            </w:pPr>
            <w:r w:rsidRPr="00A00F02">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0F02">
            <w:pPr>
              <w:pStyle w:val="Heading4"/>
              <w:rPr>
                <w:lang w:val="en-NZ"/>
              </w:rPr>
            </w:pPr>
            <w:r w:rsidRPr="00A00F02">
              <w:t>Comment</w:t>
            </w:r>
          </w:p>
        </w:tc>
      </w:tr>
      <w:tr w:rsidTr="00D0389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0F02">
            <w:pPr>
              <w:pStyle w:val="BodyText"/>
              <w:rPr>
                <w:lang w:val="en-NZ"/>
              </w:rPr>
            </w:pPr>
            <w:r w:rsidRPr="00A00F02">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0F02">
            <w:pPr>
              <w:pStyle w:val="BodyText"/>
              <w:rPr>
                <w:lang w:val="en-NZ"/>
              </w:rPr>
            </w:pPr>
            <w:r w:rsidRPr="00A00F02">
              <w:t>This unit replaces RIIRAI510A Implement, monitor, rectify and report on interfaces between electrical and mechanical componentry</w:t>
            </w:r>
          </w:p>
        </w:tc>
      </w:tr>
      <w:tr w:rsidTr="00D0389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0F02">
            <w:pPr>
              <w:pStyle w:val="BodyText"/>
              <w:rPr>
                <w:lang w:val="en-NZ"/>
              </w:rPr>
            </w:pPr>
            <w:r w:rsidRPr="00A00F02">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0F02" w:rsidP="00A00F02">
            <w:pPr>
              <w:pStyle w:val="BodyText"/>
            </w:pPr>
            <w:r w:rsidRPr="00A00F02">
              <w:t>Required frequency and volume of evidence amended in Performance evidence.</w:t>
            </w:r>
          </w:p>
          <w:p w:rsidR="00000000" w:rsidRPr="00A00F02" w:rsidP="00A00F02">
            <w:pPr>
              <w:pStyle w:val="BodyText"/>
            </w:pPr>
            <w:r w:rsidRPr="00A00F02">
              <w:t>Substantial amendments made in Assessment Conditi</w:t>
            </w:r>
            <w:r w:rsidRPr="00A00F02">
              <w:t>ons field, including: references to Industry Sectors, assessor and subject matter expert experience requirements, how assessment should be conducted and what it should confirm.</w:t>
            </w:r>
          </w:p>
        </w:tc>
      </w:tr>
    </w:tbl>
    <w:p w:rsidR="00000000" w:rsidRPr="00A00F02" w:rsidP="00A00F02">
      <w:pPr>
        <w:pStyle w:val="BodyText"/>
      </w:pPr>
    </w:p>
    <w:p w:rsidR="00000000" w:rsidRPr="00A00F02" w:rsidP="00A00F02">
      <w:pPr>
        <w:pStyle w:val="AllowPageBreak"/>
      </w:pPr>
    </w:p>
    <w:p w:rsidR="00000000" w:rsidRPr="00A00F02" w:rsidP="00A00F02">
      <w:pPr>
        <w:pStyle w:val="Heading1"/>
      </w:pPr>
      <w:bookmarkStart w:id="2" w:name="O_686303"/>
      <w:bookmarkEnd w:id="2"/>
      <w:r w:rsidRPr="00A00F02">
        <w:t>Performance Evidence</w:t>
      </w:r>
    </w:p>
    <w:p w:rsidR="00000000" w:rsidRPr="00A00F02" w:rsidP="00D03898">
      <w:pPr>
        <w:pStyle w:val="BodyText"/>
      </w:pPr>
      <w:r w:rsidRPr="00A00F02">
        <w:t>Evidence is required to be collected th</w:t>
      </w:r>
      <w:r w:rsidRPr="00A00F02">
        <w:t>at demonstrates a candidate’s competency in this unit. Evidence must be relevant to the roles within this sector’s work operations and satisfy all of the requirements of the performance criteria of this unit and include evidence that the candidate:</w:t>
      </w:r>
    </w:p>
    <w:p w:rsidR="00000000" w:rsidRPr="00A00F02" w:rsidP="00A00F02">
      <w:pPr>
        <w:pStyle w:val="ListBullet"/>
      </w:pPr>
      <w:r w:rsidRPr="00A00F02">
        <w:t>locate</w:t>
      </w:r>
      <w:r w:rsidRPr="00A00F02">
        <w:t>s and applies applicable legislation, documentation, policies and procedures</w:t>
      </w:r>
    </w:p>
    <w:p w:rsidR="00000000" w:rsidRPr="00A00F02" w:rsidP="00A00F02">
      <w:pPr>
        <w:pStyle w:val="ListBullet"/>
      </w:pPr>
      <w:r w:rsidRPr="00A00F02">
        <w:t>implements procedures and techniques to safely, effectively and efficiently rectify and report on the interfaces between electrical and mechanical componentry including:</w:t>
      </w:r>
    </w:p>
    <w:p w:rsidR="00000000" w:rsidRPr="00A00F02" w:rsidP="00A00F02">
      <w:pPr>
        <w:pStyle w:val="ListBullet"/>
      </w:pPr>
      <w:r w:rsidRPr="00A00F02">
        <w:t>accessing, interpreting and applying legislative, organisation and site requirements and procedures</w:t>
      </w:r>
    </w:p>
    <w:p w:rsidR="00000000" w:rsidRPr="00A00F02" w:rsidP="00A00F02">
      <w:pPr>
        <w:pStyle w:val="ListBullet"/>
      </w:pPr>
      <w:r w:rsidRPr="00A00F02">
        <w:t>accessing, reading, interpreting and applying:</w:t>
      </w:r>
    </w:p>
    <w:p w:rsidR="00000000" w:rsidRPr="00A00F02" w:rsidP="00A00F02">
      <w:pPr>
        <w:pStyle w:val="ListBullet2"/>
      </w:pPr>
      <w:r w:rsidRPr="00A00F02">
        <w:t>technical information</w:t>
      </w:r>
    </w:p>
    <w:p w:rsidR="00000000" w:rsidRPr="00A00F02" w:rsidP="00A00F02">
      <w:pPr>
        <w:pStyle w:val="ListBullet2"/>
      </w:pPr>
      <w:r w:rsidRPr="00A00F02">
        <w:t>site / legislative requirements</w:t>
      </w:r>
    </w:p>
    <w:p w:rsidR="00000000" w:rsidRPr="00A00F02" w:rsidP="00A00F02">
      <w:pPr>
        <w:pStyle w:val="ListBullet2"/>
      </w:pPr>
      <w:r w:rsidRPr="00A00F02">
        <w:t>records and reports</w:t>
      </w:r>
    </w:p>
    <w:p w:rsidR="00000000" w:rsidRPr="00A00F02" w:rsidP="00A00F02">
      <w:pPr>
        <w:pStyle w:val="ListBullet2"/>
      </w:pPr>
      <w:r w:rsidRPr="00A00F02">
        <w:t>briefings and handover details</w:t>
      </w:r>
    </w:p>
    <w:p w:rsidR="00000000" w:rsidRPr="00A00F02" w:rsidP="00A00F02">
      <w:pPr>
        <w:pStyle w:val="ListBullet2"/>
      </w:pPr>
      <w:r w:rsidRPr="00A00F02">
        <w:t>man</w:t>
      </w:r>
      <w:r w:rsidRPr="00A00F02">
        <w:t>ufacturers’ instructions</w:t>
      </w:r>
    </w:p>
    <w:p w:rsidR="00000000" w:rsidRPr="00A00F02" w:rsidP="00A00F02">
      <w:pPr>
        <w:pStyle w:val="ListBullet2"/>
      </w:pPr>
      <w:r w:rsidRPr="00A00F02">
        <w:t>information management</w:t>
      </w:r>
    </w:p>
    <w:p w:rsidR="00000000" w:rsidRPr="00A00F02" w:rsidP="00A00F02">
      <w:pPr>
        <w:pStyle w:val="ListBullet2"/>
      </w:pPr>
      <w:r w:rsidRPr="00A00F02">
        <w:t>equipment records maintenance</w:t>
      </w:r>
    </w:p>
    <w:p w:rsidR="00000000" w:rsidRPr="00A00F02" w:rsidP="00A00F02">
      <w:pPr>
        <w:pStyle w:val="ListBullet2"/>
      </w:pPr>
      <w:r w:rsidRPr="00A00F02">
        <w:t>maintenance survey procedures</w:t>
      </w:r>
    </w:p>
    <w:p w:rsidR="00000000" w:rsidRPr="00A00F02" w:rsidP="00A00F02">
      <w:pPr>
        <w:pStyle w:val="ListBullet2"/>
      </w:pPr>
      <w:r w:rsidRPr="00A00F02">
        <w:t>environmental constraints in rectification operations</w:t>
      </w:r>
    </w:p>
    <w:p w:rsidR="00000000" w:rsidRPr="00A00F02" w:rsidP="00A00F02">
      <w:pPr>
        <w:pStyle w:val="ListBullet2"/>
      </w:pPr>
      <w:r w:rsidRPr="00A00F02">
        <w:t>principles of mine design</w:t>
      </w:r>
    </w:p>
    <w:p w:rsidR="00000000" w:rsidRPr="00A00F02" w:rsidP="00A00F02">
      <w:pPr>
        <w:pStyle w:val="ListBullet2"/>
      </w:pPr>
      <w:r w:rsidRPr="00A00F02">
        <w:t>assessing the risks and consequences attached to mechanical systems</w:t>
      </w:r>
    </w:p>
    <w:p w:rsidR="00000000" w:rsidRPr="00A00F02" w:rsidP="00A00F02">
      <w:pPr>
        <w:pStyle w:val="ListBullet2"/>
      </w:pPr>
      <w:r w:rsidRPr="00A00F02">
        <w:t>planning and coordinating activities</w:t>
      </w:r>
    </w:p>
    <w:p w:rsidR="00000000" w:rsidRPr="00A00F02" w:rsidP="00A00F02">
      <w:pPr>
        <w:pStyle w:val="ListBullet2"/>
      </w:pPr>
      <w:r w:rsidRPr="00A00F02">
        <w:t>working in confined spaces</w:t>
      </w:r>
    </w:p>
    <w:p w:rsidR="00000000" w:rsidRPr="00A00F02" w:rsidP="00A00F02">
      <w:pPr>
        <w:pStyle w:val="ListBullet2"/>
      </w:pPr>
      <w:r w:rsidRPr="00A00F02">
        <w:t>liaising with other parties</w:t>
      </w:r>
    </w:p>
    <w:p w:rsidR="00000000" w:rsidRPr="00A00F02" w:rsidP="00A00F02">
      <w:pPr>
        <w:pStyle w:val="ListBullet2"/>
      </w:pPr>
      <w:r w:rsidRPr="00A00F02">
        <w:t>problem solving</w:t>
      </w:r>
    </w:p>
    <w:p w:rsidR="00000000" w:rsidRPr="00A00F02" w:rsidP="00A00F02">
      <w:pPr>
        <w:pStyle w:val="ListBullet2"/>
      </w:pPr>
      <w:r w:rsidRPr="00A00F02">
        <w:t>performing analysis</w:t>
      </w:r>
    </w:p>
    <w:p w:rsidR="00000000" w:rsidRPr="00A00F02" w:rsidP="00A00F02">
      <w:pPr>
        <w:pStyle w:val="ListBullet2"/>
      </w:pPr>
      <w:r w:rsidRPr="00A00F02">
        <w:t xml:space="preserve">using measuring equipment </w:t>
      </w:r>
    </w:p>
    <w:p w:rsidR="00000000" w:rsidRPr="00A00F02" w:rsidP="00A00F02">
      <w:pPr>
        <w:pStyle w:val="ListBullet2"/>
      </w:pPr>
      <w:r w:rsidRPr="00A00F02">
        <w:t xml:space="preserve">applying report writing techniques </w:t>
      </w:r>
    </w:p>
    <w:p w:rsidR="00000000" w:rsidRPr="00A00F02" w:rsidP="00A00F02">
      <w:pPr>
        <w:pStyle w:val="ListBullet2"/>
      </w:pPr>
      <w:r w:rsidRPr="00A00F02">
        <w:t>facilitating meetings</w:t>
      </w:r>
    </w:p>
    <w:p w:rsidR="00000000" w:rsidRPr="00A00F02" w:rsidP="00A00F02">
      <w:pPr>
        <w:pStyle w:val="ListBullet2"/>
      </w:pPr>
      <w:r w:rsidRPr="00A00F02">
        <w:t>applying diagnostic techniques</w:t>
      </w:r>
    </w:p>
    <w:p w:rsidR="00000000" w:rsidRPr="00A00F02" w:rsidP="00A00F02">
      <w:pPr>
        <w:pStyle w:val="ListBullet2"/>
      </w:pPr>
      <w:r w:rsidRPr="00A00F02">
        <w:t>managing disposal of environmentally sensitive fluids and materials</w:t>
      </w:r>
    </w:p>
    <w:p w:rsidR="00000000" w:rsidRPr="00A00F02" w:rsidP="00A00F02">
      <w:pPr>
        <w:pStyle w:val="ListBullet"/>
      </w:pPr>
      <w:r w:rsidRPr="00A00F02">
        <w:t>works effectively with others to rectify and report on the interfaces between electrical and mechanical componentry including:</w:t>
      </w:r>
    </w:p>
    <w:p w:rsidR="00000000" w:rsidRPr="00A00F02" w:rsidP="00A00F02">
      <w:pPr>
        <w:pStyle w:val="ListBullet2"/>
      </w:pPr>
      <w:r w:rsidRPr="00A00F02">
        <w:t>communicating and coordinating with others and related acti</w:t>
      </w:r>
      <w:r w:rsidRPr="00A00F02">
        <w:t>vities throughout the work</w:t>
      </w:r>
    </w:p>
    <w:p w:rsidR="00000000" w:rsidRPr="00A00F02" w:rsidP="00A00F02">
      <w:pPr>
        <w:pStyle w:val="ListBullet"/>
      </w:pPr>
      <w:r w:rsidRPr="00A00F02">
        <w:t>demonstrates completion of implementing, monitoring, rectifying and reporting on interfaces between electrical and mechanical componentry that safely, effectively and efficiently meets all of the required outcomes on more than o</w:t>
      </w:r>
      <w:r w:rsidRPr="00A00F02">
        <w:t>ne (1) occasion including:</w:t>
      </w:r>
    </w:p>
    <w:p w:rsidR="00000000" w:rsidRPr="00A00F02" w:rsidP="00A00F02">
      <w:pPr>
        <w:pStyle w:val="ListBullet2"/>
      </w:pPr>
      <w:r w:rsidRPr="00A00F02">
        <w:t>completing work activities</w:t>
      </w:r>
    </w:p>
    <w:p w:rsidR="00000000" w:rsidRPr="00A00F02" w:rsidP="00A00F02">
      <w:pPr>
        <w:pStyle w:val="ListBullet2"/>
      </w:pPr>
      <w:r w:rsidRPr="00A00F02">
        <w:t>identification and selection of viable options for the rectifying and reporting on the interfaces between electrical and mechanical componentry that best meet the required outcomes through:</w:t>
      </w:r>
    </w:p>
    <w:p w:rsidR="00000000" w:rsidRPr="00A00F02" w:rsidP="00A00F02">
      <w:pPr>
        <w:pStyle w:val="ListBullet3"/>
      </w:pPr>
      <w:r w:rsidRPr="00A00F02">
        <w:t xml:space="preserve">obtaining </w:t>
      </w:r>
      <w:r w:rsidRPr="00A00F02">
        <w:t>specialist advice</w:t>
      </w:r>
    </w:p>
    <w:p w:rsidR="00000000" w:rsidRPr="00A00F02" w:rsidP="00A00F02">
      <w:pPr>
        <w:pStyle w:val="ListBullet3"/>
      </w:pPr>
      <w:r w:rsidRPr="00A00F02">
        <w:t>accessing, interpreting and applying modifications according to manufacturer specifications/specialist advice</w:t>
      </w:r>
    </w:p>
    <w:p w:rsidR="00000000" w:rsidRPr="00A00F02" w:rsidP="00A00F02">
      <w:pPr>
        <w:pStyle w:val="AllowPageBreak"/>
      </w:pPr>
    </w:p>
    <w:p w:rsidR="00000000" w:rsidRPr="00A00F02" w:rsidP="00A00F02">
      <w:pPr>
        <w:pStyle w:val="Heading1"/>
      </w:pPr>
      <w:bookmarkStart w:id="3" w:name="O_686302"/>
      <w:bookmarkEnd w:id="3"/>
      <w:r w:rsidRPr="00A00F02">
        <w:t>Knowledge Evidence</w:t>
      </w:r>
    </w:p>
    <w:p w:rsidR="00000000" w:rsidRPr="00A00F02" w:rsidP="00D03898">
      <w:pPr>
        <w:pStyle w:val="BodyText"/>
      </w:pPr>
      <w:r w:rsidRPr="00A00F02">
        <w:t>The candidate must demonstrate knowledge in rectifying and reporting on interfaces between electrical and mechanical componentry through:</w:t>
      </w:r>
    </w:p>
    <w:p w:rsidR="00000000" w:rsidRPr="00A00F02" w:rsidP="00A00F02">
      <w:pPr>
        <w:pStyle w:val="ListBullet2"/>
      </w:pPr>
      <w:r w:rsidRPr="00A00F02">
        <w:t>legislative, Australian standards, organisation and site requirements and procedures for;</w:t>
      </w:r>
    </w:p>
    <w:p w:rsidR="00000000" w:rsidRPr="00A00F02" w:rsidP="00A00F02">
      <w:pPr>
        <w:pStyle w:val="ListBullet3"/>
      </w:pPr>
      <w:r w:rsidRPr="00A00F02">
        <w:t xml:space="preserve">maintenance of mechanical </w:t>
      </w:r>
      <w:r w:rsidRPr="00A00F02">
        <w:t>systems, including communications</w:t>
      </w:r>
    </w:p>
    <w:p w:rsidR="00000000" w:rsidRPr="00A00F02" w:rsidP="00A00F02">
      <w:pPr>
        <w:pStyle w:val="ListBullet3"/>
      </w:pPr>
      <w:r w:rsidRPr="00A00F02">
        <w:t xml:space="preserve">emergency preparedness and response </w:t>
      </w:r>
    </w:p>
    <w:p w:rsidR="00000000" w:rsidRPr="00A00F02" w:rsidP="00A00F02">
      <w:pPr>
        <w:pStyle w:val="ListBullet3"/>
      </w:pPr>
      <w:r w:rsidRPr="00A00F02">
        <w:t xml:space="preserve">risk management </w:t>
      </w:r>
    </w:p>
    <w:p w:rsidR="00000000" w:rsidRPr="00A00F02" w:rsidP="00A00F02">
      <w:pPr>
        <w:pStyle w:val="ListBullet3"/>
      </w:pPr>
      <w:r w:rsidRPr="00A00F02">
        <w:t>recording and reporting</w:t>
      </w:r>
    </w:p>
    <w:p w:rsidR="00000000" w:rsidRPr="00A00F02" w:rsidP="00A00F02">
      <w:pPr>
        <w:pStyle w:val="ListBullet3"/>
      </w:pPr>
      <w:r w:rsidRPr="00A00F02">
        <w:t xml:space="preserve">mines rescue, </w:t>
      </w:r>
    </w:p>
    <w:p w:rsidR="00000000" w:rsidRPr="00A00F02" w:rsidP="00A00F02">
      <w:pPr>
        <w:pStyle w:val="ListBullet3"/>
      </w:pPr>
      <w:r w:rsidRPr="00A00F02">
        <w:t xml:space="preserve">work, health and safety </w:t>
      </w:r>
    </w:p>
    <w:p w:rsidR="00000000" w:rsidRPr="00A00F02" w:rsidP="00A00F02">
      <w:pPr>
        <w:pStyle w:val="ListBullet3"/>
      </w:pPr>
      <w:r w:rsidRPr="00A00F02">
        <w:t>manufacturer instructions</w:t>
      </w:r>
    </w:p>
    <w:p w:rsidR="00000000" w:rsidRPr="00A00F02" w:rsidP="00A00F02">
      <w:pPr>
        <w:pStyle w:val="ListBullet3"/>
      </w:pPr>
      <w:r w:rsidRPr="00A00F02">
        <w:t>standard work procedures</w:t>
      </w:r>
    </w:p>
    <w:p w:rsidR="00000000" w:rsidRPr="00A00F02" w:rsidP="00A00F02">
      <w:pPr>
        <w:pStyle w:val="ListBullet3"/>
      </w:pPr>
      <w:r w:rsidRPr="00A00F02">
        <w:t>training programs</w:t>
      </w:r>
    </w:p>
    <w:p w:rsidR="00000000" w:rsidRPr="00A00F02" w:rsidP="00A00F02">
      <w:pPr>
        <w:pStyle w:val="ListBullet3"/>
      </w:pPr>
      <w:r w:rsidRPr="00A00F02">
        <w:t>fire fighting</w:t>
      </w:r>
    </w:p>
    <w:p w:rsidR="00000000" w:rsidRPr="00A00F02" w:rsidP="00A00F02">
      <w:pPr>
        <w:pStyle w:val="ListBullet3"/>
      </w:pPr>
      <w:r w:rsidRPr="00A00F02">
        <w:t>handling and storage of dangerous goods</w:t>
      </w:r>
    </w:p>
    <w:p w:rsidR="00000000" w:rsidRPr="00A00F02" w:rsidP="00A00F02">
      <w:pPr>
        <w:pStyle w:val="ListBullet3"/>
      </w:pPr>
      <w:r w:rsidRPr="00A00F02">
        <w:t>local government and power authority requirements</w:t>
      </w:r>
    </w:p>
    <w:p w:rsidR="00000000" w:rsidRPr="00A00F02" w:rsidP="00A00F02">
      <w:pPr>
        <w:pStyle w:val="ListBullet2"/>
      </w:pPr>
      <w:r w:rsidRPr="00A00F02">
        <w:t>mine operating systems and procedures including;</w:t>
      </w:r>
    </w:p>
    <w:p w:rsidR="00000000" w:rsidRPr="00A00F02" w:rsidP="00A00F02">
      <w:pPr>
        <w:pStyle w:val="ListBullet3"/>
      </w:pPr>
      <w:r w:rsidRPr="00A00F02">
        <w:t xml:space="preserve">transport systems, conveyor systems, systems of mining, ventilation systems, gas management systems and mine water </w:t>
      </w:r>
      <w:r w:rsidRPr="00A00F02">
        <w:t>management systems</w:t>
      </w:r>
    </w:p>
    <w:p w:rsidR="00000000" w:rsidRPr="00A00F02" w:rsidP="00A00F02">
      <w:pPr>
        <w:pStyle w:val="ListBullet2"/>
      </w:pPr>
      <w:r w:rsidRPr="00A00F02">
        <w:t>stores systems</w:t>
      </w:r>
    </w:p>
    <w:p w:rsidR="00000000" w:rsidRPr="00A00F02" w:rsidP="00A00F02">
      <w:pPr>
        <w:pStyle w:val="ListBullet2"/>
      </w:pPr>
      <w:r w:rsidRPr="00A00F02">
        <w:t>underground roadway and drilling</w:t>
      </w:r>
    </w:p>
    <w:p w:rsidR="00000000" w:rsidRPr="00A00F02" w:rsidP="00A00F02">
      <w:pPr>
        <w:pStyle w:val="ListBullet2"/>
      </w:pPr>
      <w:r w:rsidRPr="00A00F02">
        <w:t>protection systems</w:t>
      </w:r>
    </w:p>
    <w:p w:rsidR="00000000" w:rsidRPr="00A00F02" w:rsidP="00A00F02">
      <w:pPr>
        <w:pStyle w:val="ListBullet2"/>
      </w:pPr>
      <w:r w:rsidRPr="00A00F02">
        <w:t>reticulation systems</w:t>
      </w:r>
    </w:p>
    <w:p w:rsidR="00000000" w:rsidRPr="00A00F02" w:rsidP="00A00F02">
      <w:pPr>
        <w:pStyle w:val="ListBullet2"/>
      </w:pPr>
      <w:r w:rsidRPr="00A00F02">
        <w:t>mechanical systems</w:t>
      </w:r>
    </w:p>
    <w:p w:rsidR="00000000" w:rsidRPr="00A00F02" w:rsidP="00A00F02">
      <w:pPr>
        <w:pStyle w:val="ListBullet2"/>
      </w:pPr>
      <w:r w:rsidRPr="00A00F02">
        <w:t>audit procedures</w:t>
      </w:r>
    </w:p>
    <w:p w:rsidR="00000000" w:rsidRPr="00A00F02" w:rsidP="00A00F02">
      <w:pPr>
        <w:pStyle w:val="ListBullet2"/>
      </w:pPr>
      <w:r w:rsidRPr="00A00F02">
        <w:t>mine design principles and procedures relating to mechanical systems</w:t>
      </w:r>
    </w:p>
    <w:p w:rsidR="00000000" w:rsidRPr="00A00F02" w:rsidP="00A00F02">
      <w:pPr>
        <w:pStyle w:val="ListBullet2"/>
      </w:pPr>
      <w:r w:rsidRPr="00A00F02">
        <w:t>company organisation structure</w:t>
      </w:r>
    </w:p>
    <w:p w:rsidR="00000000" w:rsidRPr="00A00F02" w:rsidP="00A00F02">
      <w:pPr>
        <w:pStyle w:val="ListBullet2"/>
      </w:pPr>
      <w:r w:rsidRPr="00A00F02">
        <w:t>computer based systems</w:t>
      </w:r>
    </w:p>
    <w:p w:rsidR="00000000" w:rsidRPr="00A00F02" w:rsidP="00A00F02">
      <w:pPr>
        <w:pStyle w:val="ListBullet2"/>
      </w:pPr>
      <w:r w:rsidRPr="00A00F02">
        <w:t>training programs</w:t>
      </w:r>
    </w:p>
    <w:p w:rsidR="00000000" w:rsidRPr="00A00F02" w:rsidP="00A00F02">
      <w:pPr>
        <w:pStyle w:val="ListBullet2"/>
      </w:pPr>
      <w:r w:rsidRPr="00A00F02">
        <w:t>safety design features for maintenance of mechanical systems</w:t>
      </w:r>
    </w:p>
    <w:p w:rsidR="00000000" w:rsidRPr="00A00F02" w:rsidP="00A00F02">
      <w:pPr>
        <w:pStyle w:val="ListBullet2"/>
      </w:pPr>
      <w:r w:rsidRPr="00A00F02">
        <w:t>maintenance surveys</w:t>
      </w:r>
    </w:p>
    <w:p w:rsidR="00000000" w:rsidRPr="00A00F02" w:rsidP="00A00F02">
      <w:pPr>
        <w:pStyle w:val="AllowPageBreak"/>
      </w:pPr>
    </w:p>
    <w:p w:rsidR="00000000" w:rsidRPr="00A00F02" w:rsidP="00A00F02">
      <w:pPr>
        <w:pStyle w:val="Heading1"/>
      </w:pPr>
      <w:bookmarkStart w:id="4" w:name="O_686301"/>
      <w:bookmarkEnd w:id="4"/>
      <w:r w:rsidRPr="00A00F02">
        <w:t>Assessment Conditions</w:t>
      </w:r>
    </w:p>
    <w:p w:rsidR="00000000" w:rsidRPr="00A00F02" w:rsidP="00A00F02">
      <w:pPr>
        <w:pStyle w:val="ListBullet"/>
      </w:pPr>
      <w:r w:rsidRPr="00A00F02">
        <w:t>An assessor of this unit must satisfy the requirements of the NVR/AQTF or their successors; an</w:t>
      </w:r>
      <w:r w:rsidRPr="00A00F02">
        <w:t xml:space="preserve">d Industry regulations for certification and licensing; and, </w:t>
      </w:r>
    </w:p>
    <w:p w:rsidR="00000000" w:rsidRPr="00A00F02" w:rsidP="00A00F02">
      <w:pPr>
        <w:pStyle w:val="ListBullet"/>
      </w:pPr>
      <w:r w:rsidRPr="00A00F02">
        <w:t>this unit must be assessed in the context of this sector’s work environment; and,</w:t>
      </w:r>
    </w:p>
    <w:p w:rsidR="00000000" w:rsidRPr="00A00F02" w:rsidP="00A00F02">
      <w:pPr>
        <w:pStyle w:val="ListBullet"/>
      </w:pPr>
      <w:r w:rsidRPr="00A00F02">
        <w:t>this unit must be assessed in compliance with relevant legislation/regulation and using policies, procedures, pr</w:t>
      </w:r>
      <w:r w:rsidRPr="00A00F02">
        <w:t>ocesses and operational manuals directly related to the industry sector for which it is being assessed; and,</w:t>
      </w:r>
    </w:p>
    <w:p w:rsidR="00000000" w:rsidRPr="00A00F02" w:rsidP="00A00F02">
      <w:pPr>
        <w:pStyle w:val="ListBullet"/>
      </w:pPr>
      <w:r w:rsidRPr="00A00F02">
        <w:t>assessment may be conducted in conjunction with the assessment of other Units of Competency; and,</w:t>
      </w:r>
    </w:p>
    <w:p w:rsidR="00000000" w:rsidRPr="00A00F02" w:rsidP="00A00F02">
      <w:pPr>
        <w:pStyle w:val="ListBullet"/>
      </w:pPr>
      <w:r w:rsidRPr="00A00F02">
        <w:t>assessment must confirm consistent performance ca</w:t>
      </w:r>
      <w:r w:rsidRPr="00A00F02">
        <w:t>n be applied in a range of relevant workplace circumstances; and,</w:t>
      </w:r>
    </w:p>
    <w:p w:rsidR="00000000" w:rsidRPr="00A00F02" w:rsidP="00A00F02">
      <w:pPr>
        <w:pStyle w:val="ListBullet"/>
      </w:pPr>
      <w:r w:rsidRPr="00A00F02">
        <w:t xml:space="preserve">assessors must demonstrate the performance evidence, and knowledge evidence as outlined in this Unit of Competency, and through the minimum years of current* work experience specified below </w:t>
      </w:r>
      <w:r w:rsidRPr="00A00F02">
        <w:t>in an Industry sector relevant to the outcomes of the unit; or,</w:t>
      </w:r>
    </w:p>
    <w:p w:rsidR="00000000" w:rsidRPr="00A00F02" w:rsidP="00A00F02">
      <w:pPr>
        <w:pStyle w:val="ListBullet"/>
      </w:pPr>
      <w:r w:rsidRPr="00A00F02">
        <w:t>where the assessor does not meet experience requirements a co-assessment or partnership arrangement must exist between the qualified assessor and an Industry subject matter expert. The Industr</w:t>
      </w:r>
      <w:r w:rsidRPr="00A00F02">
        <w:t xml:space="preserve">y subject matter expert should hold the unit being assessed (or an equivalent unit) and/or demonstrate equivalence of skills and knowledge at the unit level. An Industry technical expert must also demonstrate skills and knowledge from the minimum years of </w:t>
      </w:r>
      <w:r w:rsidRPr="00A00F02">
        <w:t>current work experience specified below in the Industry sector, including time spent in roles related to the unit being assessed; and,</w:t>
      </w:r>
    </w:p>
    <w:p w:rsidR="00000000" w:rsidRPr="00A00F02" w:rsidP="00A00F02">
      <w:pPr>
        <w:pStyle w:val="ListBullet"/>
      </w:pPr>
      <w:r w:rsidRPr="00A00F02">
        <w:t>assessor 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A00F02">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00F02">
            <w:pPr>
              <w:pStyle w:val="SubHeading1"/>
              <w:rPr>
                <w:lang w:val="en-NZ"/>
              </w:rPr>
            </w:pPr>
            <w:r w:rsidRPr="00A00F02">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00F02">
            <w:pPr>
              <w:pStyle w:val="SubHeading1"/>
              <w:rPr>
                <w:lang w:val="en-NZ"/>
              </w:rPr>
            </w:pPr>
            <w:r w:rsidRPr="00A00F02">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00F02">
            <w:pPr>
              <w:pStyle w:val="SubHeading1"/>
              <w:rPr>
                <w:lang w:val="en-NZ"/>
              </w:rPr>
            </w:pPr>
            <w:r w:rsidRPr="00A00F02">
              <w:t>Required assessor or Industr</w:t>
            </w:r>
            <w:r w:rsidRPr="00A00F02">
              <w:t>y subject matter expert experience</w:t>
            </w:r>
          </w:p>
        </w:tc>
      </w:tr>
      <w:tr w:rsidTr="00A00F02">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00F02">
            <w:pPr>
              <w:pStyle w:val="BodyText"/>
              <w:rPr>
                <w:lang w:val="en-NZ"/>
              </w:rPr>
            </w:pPr>
            <w:r w:rsidRPr="00A00F02">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00F02">
            <w:pPr>
              <w:pStyle w:val="BodyText"/>
              <w:rPr>
                <w:lang w:val="en-NZ"/>
              </w:rPr>
            </w:pPr>
            <w:r w:rsidRPr="00A00F02">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00F02">
            <w:pPr>
              <w:pStyle w:val="BodyText"/>
              <w:rPr>
                <w:lang w:val="en-NZ"/>
              </w:rPr>
            </w:pPr>
            <w:r w:rsidRPr="00A00F02">
              <w:t>1 Year</w:t>
            </w:r>
          </w:p>
        </w:tc>
      </w:tr>
      <w:tr w:rsidTr="00A00F02">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00F02">
            <w:pPr>
              <w:pStyle w:val="BodyText"/>
              <w:rPr>
                <w:lang w:val="en-NZ"/>
              </w:rPr>
            </w:pPr>
            <w:r w:rsidRPr="00A00F02">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00F02">
            <w:pPr>
              <w:pStyle w:val="BodyText"/>
              <w:rPr>
                <w:lang w:val="en-NZ"/>
              </w:rPr>
            </w:pPr>
            <w:r w:rsidRPr="00A00F02">
              <w:t>2 Years</w:t>
            </w:r>
          </w:p>
        </w:tc>
      </w:tr>
      <w:tr w:rsidTr="00A00F02">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00F02">
            <w:pPr>
              <w:pStyle w:val="BodyText"/>
              <w:rPr>
                <w:lang w:val="en-NZ"/>
              </w:rPr>
            </w:pPr>
            <w:r w:rsidRPr="00A00F02">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00F02">
            <w:pPr>
              <w:pStyle w:val="BodyText"/>
              <w:rPr>
                <w:lang w:val="en-NZ"/>
              </w:rPr>
            </w:pPr>
            <w:r w:rsidRPr="00A00F02">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00F02">
            <w:pPr>
              <w:pStyle w:val="BodyText"/>
              <w:rPr>
                <w:lang w:val="en-NZ"/>
              </w:rPr>
            </w:pPr>
            <w:r w:rsidRPr="00A00F02">
              <w:t>3 Years</w:t>
            </w:r>
          </w:p>
        </w:tc>
      </w:tr>
      <w:tr w:rsidTr="00A00F02">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00F02">
            <w:pPr>
              <w:pStyle w:val="BodyText"/>
              <w:rPr>
                <w:lang w:val="en-NZ"/>
              </w:rPr>
            </w:pPr>
            <w:r w:rsidRPr="00A00F02">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00F02">
            <w:pPr>
              <w:pStyle w:val="BodyText"/>
              <w:rPr>
                <w:lang w:val="en-NZ"/>
              </w:rPr>
            </w:pPr>
            <w:r w:rsidRPr="00A00F02">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00F02">
            <w:pPr>
              <w:pStyle w:val="BodyText"/>
              <w:rPr>
                <w:lang w:val="en-NZ"/>
              </w:rPr>
            </w:pPr>
            <w:r w:rsidRPr="00A00F02">
              <w:t>5 Years</w:t>
            </w:r>
          </w:p>
        </w:tc>
      </w:tr>
      <w:tr w:rsidTr="00A00F02">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00F02">
            <w:pPr>
              <w:pStyle w:val="BodyText"/>
              <w:rPr>
                <w:lang w:val="en-NZ"/>
              </w:rPr>
            </w:pPr>
            <w:r w:rsidRPr="00A00F02">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A00F02" w:rsidP="00A00F02">
            <w:pPr>
              <w:pStyle w:val="BodyText"/>
            </w:pPr>
            <w:r w:rsidRPr="00A00F02">
              <w:t xml:space="preserve">Where this Unit is being assessed outside of the Resources and Infrastructure Sectors assessor and/or Industry subject matter expert experience </w:t>
            </w:r>
            <w:r w:rsidRPr="00A00F02">
              <w:t>should be in-line with industry standards for the sector in which it is being assessed and where no Industry standard is specified should comply with any relevant regulation.</w:t>
            </w:r>
          </w:p>
        </w:tc>
      </w:tr>
    </w:tbl>
    <w:p w:rsidR="00000000" w:rsidRPr="00A00F02" w:rsidP="00D03898">
      <w:pPr>
        <w:pStyle w:val="BodyText"/>
      </w:pPr>
      <w:r w:rsidRPr="00A00F02">
        <w:t>*Assessors can demonstrate current work experience through employment within In</w:t>
      </w:r>
      <w:r w:rsidRPr="00A00F02">
        <w:t>dustry in a role relevant to the outcomes of the Unit; or, for external assessors this can be demonstrated through exposure to Industry by conducting frequent site assessments across various locations.</w:t>
      </w:r>
    </w:p>
    <w:p w:rsidR="00000000" w:rsidRPr="00A00F02" w:rsidP="00D03898">
      <w:pPr>
        <w:pStyle w:val="BodyText"/>
      </w:pPr>
      <w:r w:rsidRPr="00A00F02">
        <w:t>**Where a unit is being delivered outside of a Qualifi</w:t>
      </w:r>
      <w:r w:rsidRPr="00A00F02">
        <w:t>cation the first numeric character in the Unit code should be considered to indicate the AQF level</w:t>
      </w:r>
    </w:p>
    <w:p w:rsidR="00000000" w:rsidRPr="00A00F02" w:rsidP="00A00F02">
      <w:pPr>
        <w:pStyle w:val="Heading1"/>
      </w:pPr>
      <w:bookmarkStart w:id="5" w:name="O_686313"/>
      <w:bookmarkEnd w:id="5"/>
      <w:r w:rsidRPr="00A00F02">
        <w:t>Links</w:t>
      </w:r>
    </w:p>
    <w:p w:rsidR="00000000" w:rsidRPr="00A00F02" w:rsidP="00D03898">
      <w:pPr>
        <w:pStyle w:val="BodyText"/>
      </w:pPr>
      <w:r w:rsidRPr="00A00F02">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AA1F77">
        <w:rPr>
          <w:rStyle w:val="Hyperlink"/>
        </w:rPr>
        <w:t>https://vetnet.gov.au/Pages/TrainingDocs.aspx?q=88a61002-9a21-4386-aaf8-69c76e675272</w:t>
      </w:r>
      <w:r>
        <w:fldChar w:fldCharType="end"/>
      </w:r>
    </w:p>
    <w:p w:rsidR="00000000" w:rsidRPr="00A00F02" w:rsidP="00A00F02"/>
    <w:sectPr w:rsidSect="00A00F0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0F0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0F02" w:rsidRPr="00D03898" w:rsidP="00D0389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0F0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3898" w:rsidP="00A00F0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03898" w:rsidP="00A00F02">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D03898" w:rsidP="00A00F0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0F0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389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00F02" w:rsidRPr="00D03898" w:rsidP="00D0389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0F0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3898" w:rsidRPr="002D2AF8" w:rsidP="00A00F02">
    <w:pPr>
      <w:pStyle w:val="Header"/>
      <w:framePr w:wrap="around"/>
    </w:pPr>
    <w:r>
      <w:fldChar w:fldCharType="begin"/>
    </w:r>
    <w:r>
      <w:instrText xml:space="preserve"> TITLE   \* MERGEFORMAT </w:instrText>
    </w:r>
    <w:r>
      <w:fldChar w:fldCharType="separate"/>
    </w:r>
    <w:r>
      <w:t>Assessment Requirements for RIIRAI510D Implement, monitor, rectify and report on interfaces between electrical and mechanical componentry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D03898" w:rsidP="00A00F0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440CAF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CE2D88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374A52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0F0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00F02"/>
    <w:pPr>
      <w:spacing w:before="360" w:after="60"/>
      <w:outlineLvl w:val="0"/>
    </w:pPr>
    <w:rPr>
      <w:sz w:val="32"/>
    </w:rPr>
  </w:style>
  <w:style w:type="paragraph" w:styleId="Heading2">
    <w:name w:val="heading 2"/>
    <w:basedOn w:val="HeadingBase"/>
    <w:next w:val="BodyText"/>
    <w:link w:val="Heading2Char"/>
    <w:qFormat/>
    <w:rsid w:val="00A00F02"/>
    <w:pPr>
      <w:keepLines/>
      <w:spacing w:before="240" w:after="120"/>
      <w:outlineLvl w:val="1"/>
    </w:pPr>
    <w:rPr>
      <w:sz w:val="28"/>
      <w:szCs w:val="40"/>
    </w:rPr>
  </w:style>
  <w:style w:type="paragraph" w:styleId="Heading3">
    <w:name w:val="heading 3"/>
    <w:basedOn w:val="HeadingBase"/>
    <w:next w:val="BodyText"/>
    <w:link w:val="Heading3Char"/>
    <w:qFormat/>
    <w:rsid w:val="00A00F02"/>
    <w:pPr>
      <w:spacing w:before="180" w:after="120"/>
      <w:outlineLvl w:val="2"/>
    </w:pPr>
    <w:rPr>
      <w:spacing w:val="-10"/>
      <w:kern w:val="32"/>
    </w:rPr>
  </w:style>
  <w:style w:type="paragraph" w:styleId="Heading4">
    <w:name w:val="heading 4"/>
    <w:basedOn w:val="HeadingBase"/>
    <w:next w:val="BodyText"/>
    <w:link w:val="Heading4Char"/>
    <w:qFormat/>
    <w:rsid w:val="00A00F02"/>
    <w:pPr>
      <w:spacing w:before="160" w:after="120"/>
      <w:outlineLvl w:val="3"/>
    </w:pPr>
    <w:rPr>
      <w:sz w:val="22"/>
    </w:rPr>
  </w:style>
  <w:style w:type="paragraph" w:styleId="Heading5">
    <w:name w:val="heading 5"/>
    <w:basedOn w:val="HeadingBase"/>
    <w:next w:val="Normal"/>
    <w:link w:val="Heading5Char"/>
    <w:qFormat/>
    <w:rsid w:val="00A00F02"/>
    <w:pPr>
      <w:spacing w:before="80"/>
      <w:outlineLvl w:val="4"/>
    </w:pPr>
    <w:rPr>
      <w:color w:val="918585"/>
      <w:sz w:val="20"/>
    </w:rPr>
  </w:style>
  <w:style w:type="paragraph" w:styleId="Heading6">
    <w:name w:val="heading 6"/>
    <w:basedOn w:val="HeadingBase"/>
    <w:next w:val="Normal"/>
    <w:link w:val="Heading6Char"/>
    <w:qFormat/>
    <w:rsid w:val="00A00F02"/>
    <w:pPr>
      <w:spacing w:before="60"/>
      <w:outlineLvl w:val="5"/>
    </w:pPr>
    <w:rPr>
      <w:color w:val="918585"/>
      <w:sz w:val="20"/>
    </w:rPr>
  </w:style>
  <w:style w:type="paragraph" w:styleId="Heading7">
    <w:name w:val="heading 7"/>
    <w:basedOn w:val="Normal"/>
    <w:next w:val="Normal"/>
    <w:link w:val="Heading7Char"/>
    <w:qFormat/>
    <w:rsid w:val="00A00F02"/>
    <w:pPr>
      <w:ind w:left="720"/>
      <w:outlineLvl w:val="6"/>
    </w:pPr>
    <w:rPr>
      <w:i/>
    </w:rPr>
  </w:style>
  <w:style w:type="paragraph" w:styleId="Heading8">
    <w:name w:val="heading 8"/>
    <w:basedOn w:val="Normal"/>
    <w:next w:val="Normal"/>
    <w:link w:val="Heading8Char"/>
    <w:qFormat/>
    <w:rsid w:val="00A00F02"/>
    <w:pPr>
      <w:ind w:left="720"/>
      <w:outlineLvl w:val="7"/>
    </w:pPr>
    <w:rPr>
      <w:i/>
    </w:rPr>
  </w:style>
  <w:style w:type="paragraph" w:styleId="Heading9">
    <w:name w:val="heading 9"/>
    <w:basedOn w:val="Normal"/>
    <w:next w:val="Normal"/>
    <w:link w:val="Heading9Char"/>
    <w:qFormat/>
    <w:rsid w:val="00A00F02"/>
    <w:pPr>
      <w:ind w:left="720"/>
      <w:outlineLvl w:val="8"/>
    </w:pPr>
    <w:rPr>
      <w:i/>
    </w:rPr>
  </w:style>
  <w:style w:type="character" w:default="1" w:styleId="DefaultParagraphFont">
    <w:name w:val="Default Paragraph Font"/>
    <w:uiPriority w:val="1"/>
    <w:unhideWhenUsed/>
    <w:rsid w:val="00A00F0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00F02"/>
  </w:style>
  <w:style w:type="character" w:customStyle="1" w:styleId="Heading1Char">
    <w:name w:val="Heading 1 Char"/>
    <w:basedOn w:val="DefaultParagraphFont"/>
    <w:link w:val="Heading1"/>
    <w:rsid w:val="00A00F02"/>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A00F02"/>
    <w:rPr>
      <w:rFonts w:ascii="Times New Roman" w:eastAsia="Times New Roman" w:hAnsi="Times New Roman" w:cs="Times New Roman"/>
      <w:b/>
      <w:szCs w:val="20"/>
      <w:lang w:eastAsia="en-US"/>
    </w:rPr>
  </w:style>
  <w:style w:type="paragraph" w:styleId="BodyText">
    <w:name w:val="Body Text"/>
    <w:basedOn w:val="Normal"/>
    <w:link w:val="BodyTextChar"/>
    <w:rsid w:val="00A00F0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00F02"/>
    <w:rPr>
      <w:rFonts w:ascii="Times New Roman" w:eastAsia="Times New Roman" w:hAnsi="Times New Roman" w:cs="Times New Roman"/>
      <w:sz w:val="24"/>
      <w:lang w:eastAsia="en-US"/>
    </w:rPr>
  </w:style>
  <w:style w:type="paragraph" w:styleId="ListBullet">
    <w:name w:val="List Bullet"/>
    <w:basedOn w:val="List"/>
    <w:rsid w:val="00A00F02"/>
    <w:pPr>
      <w:numPr>
        <w:numId w:val="13"/>
      </w:numPr>
      <w:tabs>
        <w:tab w:val="clear" w:pos="340"/>
      </w:tabs>
      <w:spacing w:before="40" w:after="40"/>
    </w:pPr>
  </w:style>
  <w:style w:type="paragraph" w:styleId="ListBullet2">
    <w:name w:val="List Bullet 2"/>
    <w:basedOn w:val="List2"/>
    <w:rsid w:val="00A00F02"/>
    <w:pPr>
      <w:numPr>
        <w:numId w:val="14"/>
      </w:numPr>
      <w:tabs>
        <w:tab w:val="clear" w:pos="680"/>
      </w:tabs>
    </w:pPr>
  </w:style>
  <w:style w:type="paragraph" w:customStyle="1" w:styleId="SuperHeading">
    <w:name w:val="SuperHeading"/>
    <w:basedOn w:val="Normal"/>
    <w:rsid w:val="00A00F02"/>
    <w:pPr>
      <w:spacing w:before="240" w:after="120"/>
      <w:outlineLvl w:val="0"/>
    </w:pPr>
    <w:rPr>
      <w:rFonts w:ascii="Times New Roman" w:hAnsi="Times New Roman"/>
      <w:b/>
      <w:sz w:val="32"/>
    </w:rPr>
  </w:style>
  <w:style w:type="paragraph" w:customStyle="1" w:styleId="AllowPageBreak">
    <w:name w:val="AllowPageBreak"/>
    <w:rsid w:val="00A00F0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SubHeading1">
    <w:name w:val="SubHeading1"/>
    <w:basedOn w:val="HeadingBase"/>
    <w:rsid w:val="00A00F02"/>
    <w:pPr>
      <w:spacing w:before="240" w:after="60"/>
    </w:pPr>
    <w:rPr>
      <w:color w:val="918585"/>
      <w:sz w:val="22"/>
    </w:rPr>
  </w:style>
  <w:style w:type="paragraph" w:styleId="ListBullet3">
    <w:name w:val="List Bullet 3"/>
    <w:basedOn w:val="List3"/>
    <w:rsid w:val="00A00F02"/>
    <w:pPr>
      <w:numPr>
        <w:numId w:val="3"/>
      </w:numPr>
      <w:tabs>
        <w:tab w:val="clear" w:pos="1021"/>
      </w:tabs>
      <w:ind w:left="1037" w:hanging="357"/>
    </w:pPr>
  </w:style>
  <w:style w:type="character" w:customStyle="1" w:styleId="Heading2Char">
    <w:name w:val="Heading 2 Char"/>
    <w:basedOn w:val="DefaultParagraphFont"/>
    <w:link w:val="Heading2"/>
    <w:rsid w:val="00A00F0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00F02"/>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A00F0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00F0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00F0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00F0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00F02"/>
    <w:rPr>
      <w:rFonts w:ascii="Courier New" w:eastAsia="Times New Roman" w:hAnsi="Courier New" w:cs="Times New Roman"/>
      <w:i/>
      <w:szCs w:val="20"/>
      <w:lang w:eastAsia="en-US"/>
    </w:rPr>
  </w:style>
  <w:style w:type="paragraph" w:customStyle="1" w:styleId="HeadingBase">
    <w:name w:val="Heading Base"/>
    <w:rsid w:val="00A00F0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00F02"/>
    <w:pPr>
      <w:tabs>
        <w:tab w:val="right" w:leader="dot" w:pos="9072"/>
      </w:tabs>
      <w:ind w:left="567"/>
    </w:pPr>
    <w:rPr>
      <w:szCs w:val="22"/>
    </w:rPr>
  </w:style>
  <w:style w:type="paragraph" w:customStyle="1" w:styleId="TOCBase">
    <w:name w:val="TOC Base"/>
    <w:rsid w:val="00A00F0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00F02"/>
    <w:pPr>
      <w:tabs>
        <w:tab w:val="right" w:leader="dot" w:pos="9072"/>
      </w:tabs>
      <w:spacing w:before="40" w:after="40"/>
      <w:ind w:left="284"/>
    </w:pPr>
    <w:rPr>
      <w:rFonts w:ascii="Times New Roman" w:hAnsi="Times New Roman"/>
    </w:rPr>
  </w:style>
  <w:style w:type="paragraph" w:styleId="TOC1">
    <w:name w:val="toc 1"/>
    <w:basedOn w:val="TOCBase"/>
    <w:next w:val="Normal"/>
    <w:rsid w:val="00A00F0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00F0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00F02"/>
    <w:rPr>
      <w:rFonts w:ascii="Times New Roman" w:eastAsia="Times New Roman" w:hAnsi="Times New Roman" w:cs="Times New Roman"/>
      <w:sz w:val="16"/>
      <w:lang w:eastAsia="en-US"/>
    </w:rPr>
  </w:style>
  <w:style w:type="paragraph" w:styleId="Title">
    <w:name w:val="Title"/>
    <w:basedOn w:val="HeadingBase"/>
    <w:link w:val="TitleChar"/>
    <w:qFormat/>
    <w:rsid w:val="00A00F02"/>
    <w:pPr>
      <w:spacing w:before="5040"/>
      <w:jc w:val="center"/>
    </w:pPr>
    <w:rPr>
      <w:sz w:val="48"/>
      <w:szCs w:val="72"/>
      <w:lang w:val="en-US"/>
    </w:rPr>
  </w:style>
  <w:style w:type="character" w:customStyle="1" w:styleId="TitleChar">
    <w:name w:val="Title Char"/>
    <w:basedOn w:val="DefaultParagraphFont"/>
    <w:link w:val="Title"/>
    <w:rsid w:val="00A00F0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00F02"/>
    <w:pPr>
      <w:tabs>
        <w:tab w:val="left" w:pos="3600"/>
        <w:tab w:val="left" w:pos="3958"/>
      </w:tabs>
    </w:pPr>
  </w:style>
  <w:style w:type="paragraph" w:styleId="List">
    <w:name w:val="List"/>
    <w:basedOn w:val="BodyText"/>
    <w:next w:val="BodyText"/>
    <w:rsid w:val="00A00F02"/>
    <w:pPr>
      <w:tabs>
        <w:tab w:val="left" w:pos="340"/>
      </w:tabs>
      <w:spacing w:before="60" w:after="60"/>
      <w:ind w:left="340" w:hanging="340"/>
    </w:pPr>
  </w:style>
  <w:style w:type="paragraph" w:customStyle="1" w:styleId="Note">
    <w:name w:val="Note"/>
    <w:basedOn w:val="BodyText"/>
    <w:rsid w:val="00A00F0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00F02"/>
    <w:rPr>
      <w:b/>
      <w:spacing w:val="0"/>
    </w:rPr>
  </w:style>
  <w:style w:type="paragraph" w:customStyle="1" w:styleId="SuperTitle">
    <w:name w:val="SuperTitle"/>
    <w:basedOn w:val="Title"/>
    <w:rsid w:val="00A00F02"/>
    <w:pPr>
      <w:framePr w:wrap="auto" w:hAnchor="text" w:y="6049"/>
    </w:pPr>
    <w:rPr>
      <w:color w:val="000000"/>
      <w:sz w:val="40"/>
    </w:rPr>
  </w:style>
  <w:style w:type="paragraph" w:customStyle="1" w:styleId="TOCTitle">
    <w:name w:val="TOCTitle"/>
    <w:basedOn w:val="Heading1"/>
    <w:rsid w:val="00A00F02"/>
    <w:pPr>
      <w:spacing w:after="240"/>
      <w:jc w:val="center"/>
      <w:outlineLvl w:val="9"/>
    </w:pPr>
    <w:rPr>
      <w:caps/>
    </w:rPr>
  </w:style>
  <w:style w:type="paragraph" w:customStyle="1" w:styleId="Version">
    <w:name w:val="Version"/>
    <w:rsid w:val="00A00F0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00F02"/>
    <w:pPr>
      <w:keepNext w:val="0"/>
      <w:tabs>
        <w:tab w:val="right" w:pos="4176"/>
      </w:tabs>
      <w:ind w:left="198" w:hanging="198"/>
    </w:pPr>
    <w:rPr>
      <w:rFonts w:ascii="Garamond" w:hAnsi="Garamond"/>
    </w:rPr>
  </w:style>
  <w:style w:type="paragraph" w:styleId="IndexHeading">
    <w:name w:val="index heading"/>
    <w:basedOn w:val="Normal"/>
    <w:next w:val="Index1"/>
    <w:semiHidden/>
    <w:rsid w:val="00A00F02"/>
    <w:pPr>
      <w:spacing w:before="120" w:after="120"/>
    </w:pPr>
    <w:rPr>
      <w:rFonts w:ascii="Arial" w:hAnsi="Arial"/>
      <w:b/>
      <w:color w:val="918585"/>
      <w:sz w:val="24"/>
    </w:rPr>
  </w:style>
  <w:style w:type="paragraph" w:styleId="Header">
    <w:name w:val="header"/>
    <w:basedOn w:val="Normal"/>
    <w:link w:val="HeaderChar"/>
    <w:rsid w:val="00A00F0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00F02"/>
    <w:rPr>
      <w:rFonts w:ascii="Times New Roman" w:eastAsia="Times New Roman" w:hAnsi="Times New Roman" w:cs="Times New Roman"/>
      <w:sz w:val="16"/>
      <w:szCs w:val="20"/>
      <w:lang w:val="en-GB" w:eastAsia="en-US"/>
    </w:rPr>
  </w:style>
  <w:style w:type="paragraph" w:customStyle="1" w:styleId="Chapter">
    <w:name w:val="Chapter"/>
    <w:basedOn w:val="Normal"/>
    <w:rsid w:val="00A00F02"/>
    <w:pPr>
      <w:spacing w:before="240"/>
    </w:pPr>
    <w:rPr>
      <w:rFonts w:ascii="Times New Roman" w:hAnsi="Times New Roman"/>
      <w:smallCaps/>
      <w:spacing w:val="80"/>
      <w:sz w:val="28"/>
    </w:rPr>
  </w:style>
  <w:style w:type="paragraph" w:customStyle="1" w:styleId="InChapter">
    <w:name w:val="InChapter"/>
    <w:basedOn w:val="Heading3"/>
    <w:rsid w:val="00A00F02"/>
    <w:pPr>
      <w:spacing w:after="240"/>
      <w:outlineLvl w:val="9"/>
    </w:pPr>
    <w:rPr>
      <w:noProof/>
    </w:rPr>
  </w:style>
  <w:style w:type="paragraph" w:styleId="Index2">
    <w:name w:val="index 2"/>
    <w:basedOn w:val="Normal"/>
    <w:next w:val="Normal"/>
    <w:semiHidden/>
    <w:rsid w:val="00A00F02"/>
    <w:pPr>
      <w:tabs>
        <w:tab w:val="right" w:pos="4176"/>
      </w:tabs>
      <w:ind w:left="568" w:hanging="284"/>
    </w:pPr>
    <w:rPr>
      <w:rFonts w:ascii="Garamond" w:hAnsi="Garamond"/>
    </w:rPr>
  </w:style>
  <w:style w:type="paragraph" w:customStyle="1" w:styleId="Byline">
    <w:name w:val="Byline"/>
    <w:rsid w:val="00A00F0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00F02"/>
    <w:pPr>
      <w:tabs>
        <w:tab w:val="clear" w:pos="3600"/>
        <w:tab w:val="clear" w:pos="3958"/>
      </w:tabs>
      <w:jc w:val="right"/>
    </w:pPr>
  </w:style>
  <w:style w:type="character" w:styleId="Emphasis">
    <w:name w:val="Emphasis"/>
    <w:basedOn w:val="DefaultParagraphFont"/>
    <w:qFormat/>
    <w:rsid w:val="00A00F02"/>
    <w:rPr>
      <w:i/>
    </w:rPr>
  </w:style>
  <w:style w:type="paragraph" w:styleId="Caption">
    <w:name w:val="caption"/>
    <w:basedOn w:val="BodyText"/>
    <w:next w:val="Normal"/>
    <w:qFormat/>
    <w:rsid w:val="00A00F02"/>
    <w:pPr>
      <w:framePr w:w="2268" w:hSpace="181" w:vSpace="181" w:wrap="around" w:vAnchor="text" w:hAnchor="page" w:x="1135" w:y="285" w:anchorLock="1"/>
    </w:pPr>
    <w:rPr>
      <w:i/>
    </w:rPr>
  </w:style>
  <w:style w:type="paragraph" w:customStyle="1" w:styleId="MiniTOCTitle">
    <w:name w:val="MiniTOCTitle"/>
    <w:basedOn w:val="Heading4"/>
    <w:rsid w:val="00A00F02"/>
    <w:pPr>
      <w:spacing w:before="240"/>
      <w:outlineLvl w:val="9"/>
    </w:pPr>
    <w:rPr>
      <w:noProof/>
      <w:sz w:val="24"/>
    </w:rPr>
  </w:style>
  <w:style w:type="paragraph" w:customStyle="1" w:styleId="MiniTOCItem">
    <w:name w:val="MiniTOCItem"/>
    <w:basedOn w:val="ListBullet"/>
    <w:rsid w:val="00A00F02"/>
    <w:pPr>
      <w:numPr>
        <w:numId w:val="0"/>
      </w:numPr>
      <w:tabs>
        <w:tab w:val="right" w:leader="dot" w:pos="6521"/>
      </w:tabs>
      <w:spacing w:before="0" w:after="0"/>
    </w:pPr>
  </w:style>
  <w:style w:type="paragraph" w:customStyle="1" w:styleId="TOFTitle">
    <w:name w:val="TOFTitle"/>
    <w:basedOn w:val="TOCTitle"/>
    <w:rsid w:val="00A00F02"/>
  </w:style>
  <w:style w:type="paragraph" w:styleId="TableofFigures">
    <w:name w:val="table of figures"/>
    <w:basedOn w:val="Normal"/>
    <w:next w:val="Normal"/>
    <w:semiHidden/>
    <w:rsid w:val="00A00F02"/>
    <w:pPr>
      <w:tabs>
        <w:tab w:val="right" w:leader="dot" w:pos="9072"/>
      </w:tabs>
      <w:ind w:left="970" w:hanging="403"/>
    </w:pPr>
    <w:rPr>
      <w:rFonts w:ascii="Times New Roman" w:hAnsi="Times New Roman"/>
      <w:b/>
    </w:rPr>
  </w:style>
  <w:style w:type="paragraph" w:styleId="ListNumber">
    <w:name w:val="List Number"/>
    <w:basedOn w:val="List"/>
    <w:rsid w:val="00A00F02"/>
    <w:pPr>
      <w:numPr>
        <w:numId w:val="16"/>
      </w:numPr>
      <w:tabs>
        <w:tab w:val="clear" w:pos="340"/>
      </w:tabs>
    </w:pPr>
  </w:style>
  <w:style w:type="character" w:customStyle="1" w:styleId="WingdingSymbols">
    <w:name w:val="Wingding Symbols"/>
    <w:rsid w:val="00A00F02"/>
    <w:rPr>
      <w:rFonts w:ascii="Wingdings" w:hAnsi="Wingdings"/>
    </w:rPr>
  </w:style>
  <w:style w:type="paragraph" w:customStyle="1" w:styleId="TableHeading">
    <w:name w:val="Table Heading"/>
    <w:basedOn w:val="HeadingBase"/>
    <w:rsid w:val="00A00F02"/>
    <w:pPr>
      <w:keepLines/>
      <w:pBdr>
        <w:bottom w:val="single" w:sz="6" w:space="1" w:color="918585"/>
      </w:pBdr>
      <w:spacing w:before="240"/>
    </w:pPr>
  </w:style>
  <w:style w:type="character" w:customStyle="1" w:styleId="HotSpot">
    <w:name w:val="HotSpot"/>
    <w:rsid w:val="00A00F02"/>
    <w:rPr>
      <w:color w:val="0033CC"/>
      <w:u w:val="none"/>
    </w:rPr>
  </w:style>
  <w:style w:type="paragraph" w:customStyle="1" w:styleId="BodyTextRight">
    <w:name w:val="Body Text Right"/>
    <w:basedOn w:val="BodyText"/>
    <w:rsid w:val="00A00F02"/>
    <w:pPr>
      <w:spacing w:before="0" w:after="0"/>
      <w:jc w:val="right"/>
    </w:pPr>
  </w:style>
  <w:style w:type="paragraph" w:styleId="Index3">
    <w:name w:val="index 3"/>
    <w:basedOn w:val="ListNumber2"/>
    <w:next w:val="Normal"/>
    <w:semiHidden/>
    <w:rsid w:val="00A00F02"/>
    <w:pPr>
      <w:numPr>
        <w:numId w:val="0"/>
      </w:numPr>
      <w:tabs>
        <w:tab w:val="right" w:leader="dot" w:pos="4176"/>
      </w:tabs>
    </w:pPr>
  </w:style>
  <w:style w:type="paragraph" w:styleId="ListNumber2">
    <w:name w:val="List Number 2"/>
    <w:basedOn w:val="List2"/>
    <w:rsid w:val="00A00F02"/>
    <w:pPr>
      <w:numPr>
        <w:numId w:val="11"/>
      </w:numPr>
      <w:tabs>
        <w:tab w:val="clear" w:pos="1060"/>
      </w:tabs>
    </w:pPr>
  </w:style>
  <w:style w:type="paragraph" w:customStyle="1" w:styleId="MarginNote">
    <w:name w:val="Margin Note"/>
    <w:basedOn w:val="BodyText"/>
    <w:rsid w:val="00A00F0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00F0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00F0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00F02"/>
    <w:rPr>
      <w:sz w:val="32"/>
    </w:rPr>
  </w:style>
  <w:style w:type="paragraph" w:customStyle="1" w:styleId="HeadingProcedure">
    <w:name w:val="Heading Procedure"/>
    <w:basedOn w:val="HeadingBase"/>
    <w:next w:val="Normal"/>
    <w:rsid w:val="00A00F02"/>
    <w:pPr>
      <w:tabs>
        <w:tab w:val="left" w:pos="0"/>
      </w:tabs>
      <w:spacing w:before="120" w:after="60"/>
    </w:pPr>
    <w:rPr>
      <w:i/>
      <w:color w:val="918585"/>
      <w:sz w:val="22"/>
    </w:rPr>
  </w:style>
  <w:style w:type="paragraph" w:customStyle="1" w:styleId="TableBodyText">
    <w:name w:val="Table Body Text"/>
    <w:basedOn w:val="BodyText"/>
    <w:rsid w:val="00A00F02"/>
    <w:pPr>
      <w:spacing w:before="60" w:after="60"/>
    </w:pPr>
  </w:style>
  <w:style w:type="paragraph" w:styleId="ListContinue">
    <w:name w:val="List Continue"/>
    <w:basedOn w:val="List"/>
    <w:rsid w:val="00A00F02"/>
    <w:pPr>
      <w:ind w:firstLine="0"/>
    </w:pPr>
  </w:style>
  <w:style w:type="paragraph" w:customStyle="1" w:styleId="ListNote">
    <w:name w:val="List Note"/>
    <w:basedOn w:val="List"/>
    <w:rsid w:val="00A00F02"/>
    <w:pPr>
      <w:pBdr>
        <w:top w:val="single" w:sz="6" w:space="2" w:color="918585"/>
        <w:bottom w:val="single" w:sz="6" w:space="2" w:color="918585"/>
      </w:pBdr>
      <w:tabs>
        <w:tab w:val="left" w:pos="1021"/>
      </w:tabs>
      <w:ind w:firstLine="0"/>
    </w:pPr>
  </w:style>
  <w:style w:type="paragraph" w:customStyle="1" w:styleId="Warning">
    <w:name w:val="Warning"/>
    <w:basedOn w:val="BodyText"/>
    <w:rsid w:val="00A00F02"/>
    <w:pPr>
      <w:shd w:val="clear" w:color="auto" w:fill="D9D9D9"/>
      <w:tabs>
        <w:tab w:val="left" w:pos="992"/>
      </w:tabs>
      <w:ind w:left="119" w:right="119"/>
    </w:pPr>
    <w:rPr>
      <w:sz w:val="20"/>
    </w:rPr>
  </w:style>
  <w:style w:type="paragraph" w:customStyle="1" w:styleId="MarginIcons">
    <w:name w:val="Margin Icons"/>
    <w:basedOn w:val="BodyText"/>
    <w:rsid w:val="00A00F0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00F02"/>
    <w:rPr>
      <w:rFonts w:ascii="Courier New" w:hAnsi="Courier New"/>
    </w:rPr>
  </w:style>
  <w:style w:type="paragraph" w:customStyle="1" w:styleId="NoteBullet">
    <w:name w:val="Note Bullet"/>
    <w:basedOn w:val="Note"/>
    <w:rsid w:val="00A00F02"/>
    <w:pPr>
      <w:tabs>
        <w:tab w:val="clear" w:pos="680"/>
      </w:tabs>
      <w:spacing w:before="60" w:after="60"/>
    </w:pPr>
  </w:style>
  <w:style w:type="paragraph" w:customStyle="1" w:styleId="SubHeading2">
    <w:name w:val="SubHeading2"/>
    <w:basedOn w:val="HeadingBase"/>
    <w:rsid w:val="00A00F02"/>
    <w:pPr>
      <w:spacing w:before="240" w:after="60"/>
    </w:pPr>
    <w:rPr>
      <w:sz w:val="20"/>
    </w:rPr>
  </w:style>
  <w:style w:type="paragraph" w:customStyle="1" w:styleId="SideHeading">
    <w:name w:val="Side Heading"/>
    <w:basedOn w:val="HeadingBase"/>
    <w:rsid w:val="00A00F0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00F02"/>
    <w:pPr>
      <w:numPr>
        <w:numId w:val="12"/>
      </w:numPr>
    </w:pPr>
  </w:style>
  <w:style w:type="paragraph" w:styleId="PlainText">
    <w:name w:val="Plain Text"/>
    <w:basedOn w:val="Normal"/>
    <w:link w:val="PlainTextChar"/>
    <w:rsid w:val="00A00F02"/>
    <w:rPr>
      <w:sz w:val="20"/>
    </w:rPr>
  </w:style>
  <w:style w:type="character" w:customStyle="1" w:styleId="PlainTextChar">
    <w:name w:val="Plain Text Char"/>
    <w:basedOn w:val="DefaultParagraphFont"/>
    <w:link w:val="PlainText"/>
    <w:rsid w:val="00A00F02"/>
    <w:rPr>
      <w:rFonts w:ascii="Courier New" w:eastAsia="Times New Roman" w:hAnsi="Courier New" w:cs="Times New Roman"/>
      <w:sz w:val="20"/>
      <w:szCs w:val="20"/>
      <w:lang w:eastAsia="en-US"/>
    </w:rPr>
  </w:style>
  <w:style w:type="character" w:customStyle="1" w:styleId="MenuOption">
    <w:name w:val="Menu Option"/>
    <w:basedOn w:val="DefaultParagraphFont"/>
    <w:rsid w:val="00A00F02"/>
    <w:rPr>
      <w:b/>
      <w:smallCaps/>
    </w:rPr>
  </w:style>
  <w:style w:type="paragraph" w:customStyle="1" w:styleId="TableListNumber">
    <w:name w:val="Table List Number"/>
    <w:basedOn w:val="ListNumber"/>
    <w:rsid w:val="00A00F02"/>
    <w:pPr>
      <w:numPr>
        <w:numId w:val="0"/>
      </w:numPr>
    </w:pPr>
  </w:style>
  <w:style w:type="paragraph" w:styleId="TOC4">
    <w:name w:val="toc 4"/>
    <w:basedOn w:val="TOCBase"/>
    <w:next w:val="Normal"/>
    <w:semiHidden/>
    <w:rsid w:val="00A00F02"/>
    <w:pPr>
      <w:tabs>
        <w:tab w:val="right" w:leader="dot" w:pos="9071"/>
      </w:tabs>
      <w:ind w:left="1701"/>
    </w:pPr>
  </w:style>
  <w:style w:type="paragraph" w:customStyle="1" w:styleId="ListAlpha">
    <w:name w:val="List Alpha"/>
    <w:basedOn w:val="List"/>
    <w:rsid w:val="00A00F02"/>
    <w:pPr>
      <w:numPr>
        <w:numId w:val="10"/>
      </w:numPr>
    </w:pPr>
  </w:style>
  <w:style w:type="paragraph" w:customStyle="1" w:styleId="ListAlpha2">
    <w:name w:val="List Alpha 2"/>
    <w:basedOn w:val="List2"/>
    <w:rsid w:val="00A00F02"/>
    <w:pPr>
      <w:numPr>
        <w:numId w:val="9"/>
      </w:numPr>
    </w:pPr>
  </w:style>
  <w:style w:type="paragraph" w:styleId="List2">
    <w:name w:val="List 2"/>
    <w:basedOn w:val="BodyText"/>
    <w:rsid w:val="00A00F02"/>
    <w:pPr>
      <w:tabs>
        <w:tab w:val="left" w:pos="680"/>
      </w:tabs>
      <w:spacing w:before="60" w:after="60"/>
      <w:ind w:left="680" w:hanging="340"/>
    </w:pPr>
  </w:style>
  <w:style w:type="paragraph" w:styleId="List3">
    <w:name w:val="List 3"/>
    <w:basedOn w:val="BodyText"/>
    <w:rsid w:val="00A00F02"/>
    <w:pPr>
      <w:tabs>
        <w:tab w:val="left" w:pos="1021"/>
      </w:tabs>
      <w:spacing w:before="60" w:after="60"/>
      <w:ind w:left="1020" w:hanging="340"/>
    </w:pPr>
  </w:style>
  <w:style w:type="paragraph" w:styleId="List4">
    <w:name w:val="List 4"/>
    <w:basedOn w:val="BodyText"/>
    <w:rsid w:val="00A00F02"/>
    <w:pPr>
      <w:tabs>
        <w:tab w:val="left" w:pos="1361"/>
      </w:tabs>
      <w:spacing w:before="60" w:after="60"/>
      <w:ind w:left="1361" w:hanging="340"/>
    </w:pPr>
  </w:style>
  <w:style w:type="paragraph" w:styleId="List5">
    <w:name w:val="List 5"/>
    <w:basedOn w:val="BodyText"/>
    <w:rsid w:val="00A00F02"/>
    <w:pPr>
      <w:tabs>
        <w:tab w:val="left" w:pos="1701"/>
      </w:tabs>
      <w:spacing w:before="60" w:after="60"/>
      <w:ind w:left="1701" w:hanging="340"/>
    </w:pPr>
  </w:style>
  <w:style w:type="paragraph" w:styleId="ListBullet4">
    <w:name w:val="List Bullet 4"/>
    <w:basedOn w:val="List4"/>
    <w:rsid w:val="00A00F02"/>
    <w:pPr>
      <w:numPr>
        <w:numId w:val="4"/>
      </w:numPr>
      <w:tabs>
        <w:tab w:val="clear" w:pos="1361"/>
      </w:tabs>
    </w:pPr>
  </w:style>
  <w:style w:type="paragraph" w:styleId="ListBullet5">
    <w:name w:val="List Bullet 5"/>
    <w:basedOn w:val="List5"/>
    <w:rsid w:val="00A00F02"/>
    <w:pPr>
      <w:numPr>
        <w:numId w:val="5"/>
      </w:numPr>
    </w:pPr>
  </w:style>
  <w:style w:type="paragraph" w:styleId="ListContinue2">
    <w:name w:val="List Continue 2"/>
    <w:basedOn w:val="List2"/>
    <w:rsid w:val="00A00F02"/>
    <w:pPr>
      <w:ind w:firstLine="0"/>
    </w:pPr>
  </w:style>
  <w:style w:type="paragraph" w:styleId="ListContinue3">
    <w:name w:val="List Continue 3"/>
    <w:basedOn w:val="List3"/>
    <w:rsid w:val="00A00F02"/>
    <w:pPr>
      <w:ind w:left="1021" w:firstLine="0"/>
    </w:pPr>
  </w:style>
  <w:style w:type="paragraph" w:styleId="ListContinue4">
    <w:name w:val="List Continue 4"/>
    <w:basedOn w:val="List4"/>
    <w:rsid w:val="00A00F02"/>
    <w:pPr>
      <w:ind w:firstLine="0"/>
    </w:pPr>
  </w:style>
  <w:style w:type="paragraph" w:styleId="ListContinue5">
    <w:name w:val="List Continue 5"/>
    <w:basedOn w:val="List5"/>
    <w:rsid w:val="00A00F02"/>
    <w:pPr>
      <w:ind w:firstLine="0"/>
    </w:pPr>
  </w:style>
  <w:style w:type="paragraph" w:styleId="ListNumber3">
    <w:name w:val="List Number 3"/>
    <w:basedOn w:val="List3"/>
    <w:rsid w:val="00A00F02"/>
    <w:pPr>
      <w:numPr>
        <w:numId w:val="6"/>
      </w:numPr>
    </w:pPr>
  </w:style>
  <w:style w:type="paragraph" w:styleId="ListNumber4">
    <w:name w:val="List Number 4"/>
    <w:basedOn w:val="List4"/>
    <w:rsid w:val="00A00F02"/>
    <w:pPr>
      <w:numPr>
        <w:numId w:val="7"/>
      </w:numPr>
    </w:pPr>
  </w:style>
  <w:style w:type="paragraph" w:styleId="ListNumber5">
    <w:name w:val="List Number 5"/>
    <w:basedOn w:val="List5"/>
    <w:rsid w:val="00A00F02"/>
    <w:pPr>
      <w:numPr>
        <w:numId w:val="8"/>
      </w:numPr>
    </w:pPr>
  </w:style>
  <w:style w:type="paragraph" w:styleId="BlockText">
    <w:name w:val="Block Text"/>
    <w:basedOn w:val="Normal"/>
    <w:rsid w:val="00A00F02"/>
    <w:pPr>
      <w:spacing w:after="120"/>
      <w:ind w:left="1440" w:right="1440"/>
    </w:pPr>
  </w:style>
  <w:style w:type="character" w:customStyle="1" w:styleId="Subscript">
    <w:name w:val="Subscript"/>
    <w:basedOn w:val="DefaultParagraphFont"/>
    <w:rsid w:val="00A00F02"/>
    <w:rPr>
      <w:sz w:val="16"/>
      <w:vertAlign w:val="subscript"/>
    </w:rPr>
  </w:style>
  <w:style w:type="character" w:customStyle="1" w:styleId="Superscript">
    <w:name w:val="Superscript"/>
    <w:basedOn w:val="DefaultParagraphFont"/>
    <w:rsid w:val="00A00F02"/>
    <w:rPr>
      <w:sz w:val="16"/>
      <w:vertAlign w:val="superscript"/>
    </w:rPr>
  </w:style>
  <w:style w:type="character" w:customStyle="1" w:styleId="Symbols">
    <w:name w:val="Symbols"/>
    <w:basedOn w:val="DefaultParagraphFont"/>
    <w:rsid w:val="00A00F02"/>
    <w:rPr>
      <w:rFonts w:ascii="Symbol" w:hAnsi="Symbol"/>
    </w:rPr>
  </w:style>
  <w:style w:type="character" w:customStyle="1" w:styleId="MenuOptions">
    <w:name w:val="Menu Options"/>
    <w:basedOn w:val="DefaultParagraphFont"/>
    <w:rsid w:val="00A00F02"/>
    <w:rPr>
      <w:rFonts w:ascii="Arial Narrow" w:hAnsi="Arial Narrow"/>
      <w:smallCaps/>
    </w:rPr>
  </w:style>
  <w:style w:type="character" w:customStyle="1" w:styleId="Buttons">
    <w:name w:val="Buttons"/>
    <w:basedOn w:val="DefaultParagraphFont"/>
    <w:rsid w:val="00A00F02"/>
    <w:rPr>
      <w:b/>
    </w:rPr>
  </w:style>
  <w:style w:type="character" w:customStyle="1" w:styleId="Underlined">
    <w:name w:val="Underlined"/>
    <w:basedOn w:val="DefaultParagraphFont"/>
    <w:rsid w:val="00A00F02"/>
    <w:rPr>
      <w:u w:val="single"/>
    </w:rPr>
  </w:style>
  <w:style w:type="paragraph" w:customStyle="1" w:styleId="TableBodyTextRight">
    <w:name w:val="Table Body Text Right"/>
    <w:basedOn w:val="TableBodyText"/>
    <w:rsid w:val="00A00F02"/>
    <w:pPr>
      <w:widowControl w:val="0"/>
      <w:autoSpaceDE w:val="0"/>
      <w:autoSpaceDN w:val="0"/>
      <w:adjustRightInd w:val="0"/>
      <w:jc w:val="right"/>
    </w:pPr>
    <w:rPr>
      <w:rFonts w:cs="Arial"/>
      <w:szCs w:val="18"/>
    </w:rPr>
  </w:style>
  <w:style w:type="paragraph" w:customStyle="1" w:styleId="CopyrightText">
    <w:name w:val="Copyright Text"/>
    <w:basedOn w:val="BodyText"/>
    <w:rsid w:val="00A00F02"/>
    <w:rPr>
      <w:sz w:val="18"/>
    </w:rPr>
  </w:style>
  <w:style w:type="paragraph" w:customStyle="1" w:styleId="BodySmallRight">
    <w:name w:val="Body Small Right"/>
    <w:basedOn w:val="BodyTextRight"/>
    <w:rsid w:val="00A00F02"/>
    <w:rPr>
      <w:sz w:val="18"/>
      <w:szCs w:val="18"/>
    </w:rPr>
  </w:style>
  <w:style w:type="paragraph" w:customStyle="1" w:styleId="MarginEdition">
    <w:name w:val="Margin Edition"/>
    <w:basedOn w:val="MarginNote"/>
    <w:rsid w:val="00A00F02"/>
    <w:pPr>
      <w:spacing w:before="0" w:after="0"/>
    </w:pPr>
    <w:rPr>
      <w:rFonts w:ascii="Times New Roman" w:hAnsi="Times New Roman"/>
      <w:color w:val="999999"/>
    </w:rPr>
  </w:style>
  <w:style w:type="paragraph" w:customStyle="1" w:styleId="Spacer">
    <w:name w:val="Spacer"/>
    <w:basedOn w:val="Normal"/>
    <w:rsid w:val="00A00F02"/>
    <w:rPr>
      <w:sz w:val="2"/>
      <w:szCs w:val="2"/>
    </w:rPr>
  </w:style>
  <w:style w:type="character" w:customStyle="1" w:styleId="Small">
    <w:name w:val="Small"/>
    <w:basedOn w:val="DefaultParagraphFont"/>
    <w:rsid w:val="00A00F02"/>
    <w:rPr>
      <w:sz w:val="16"/>
    </w:rPr>
  </w:style>
  <w:style w:type="paragraph" w:customStyle="1" w:styleId="WideTable">
    <w:name w:val="Wide Table"/>
    <w:basedOn w:val="Normal"/>
    <w:rsid w:val="00A00F02"/>
    <w:pPr>
      <w:ind w:left="-1418"/>
    </w:pPr>
    <w:rPr>
      <w:sz w:val="2"/>
      <w:szCs w:val="2"/>
    </w:rPr>
  </w:style>
  <w:style w:type="character" w:styleId="PageNumber">
    <w:name w:val="page number"/>
    <w:basedOn w:val="DefaultParagraphFont"/>
    <w:rsid w:val="00A00F02"/>
  </w:style>
  <w:style w:type="paragraph" w:styleId="Quote">
    <w:name w:val="Quote"/>
    <w:basedOn w:val="Heading1"/>
    <w:link w:val="QuoteChar"/>
    <w:qFormat/>
    <w:rsid w:val="00A00F02"/>
    <w:rPr>
      <w:b w:val="0"/>
      <w:sz w:val="72"/>
      <w:szCs w:val="72"/>
      <w:lang w:val="en-NZ"/>
    </w:rPr>
  </w:style>
  <w:style w:type="character" w:customStyle="1" w:styleId="QuoteChar">
    <w:name w:val="Quote Char"/>
    <w:basedOn w:val="DefaultParagraphFont"/>
    <w:link w:val="Quote"/>
    <w:rsid w:val="00A00F0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00F02"/>
    <w:pPr>
      <w:pageBreakBefore/>
    </w:pPr>
  </w:style>
  <w:style w:type="paragraph" w:customStyle="1" w:styleId="Border">
    <w:name w:val="Border"/>
    <w:basedOn w:val="Normal"/>
    <w:qFormat/>
    <w:rsid w:val="00A00F0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00F02"/>
    <w:rPr>
      <w:b/>
      <w:bCs/>
      <w:i/>
      <w:iCs/>
      <w:color w:val="auto"/>
    </w:rPr>
  </w:style>
  <w:style w:type="paragraph" w:styleId="IntenseQuote">
    <w:name w:val="Intense Quote"/>
    <w:basedOn w:val="Normal"/>
    <w:next w:val="Normal"/>
    <w:link w:val="IntenseQuoteChar"/>
    <w:uiPriority w:val="30"/>
    <w:qFormat/>
    <w:rsid w:val="00A00F0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00F0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00F02"/>
    <w:rPr>
      <w:smallCaps/>
      <w:color w:val="auto"/>
      <w:u w:val="single"/>
    </w:rPr>
  </w:style>
  <w:style w:type="character" w:styleId="IntenseReference">
    <w:name w:val="Intense Reference"/>
    <w:basedOn w:val="DefaultParagraphFont"/>
    <w:uiPriority w:val="32"/>
    <w:qFormat/>
    <w:rsid w:val="00A00F02"/>
    <w:rPr>
      <w:b/>
      <w:bCs/>
      <w:smallCaps/>
      <w:color w:val="auto"/>
      <w:spacing w:val="5"/>
      <w:u w:val="single"/>
    </w:rPr>
  </w:style>
  <w:style w:type="paragraph" w:customStyle="1" w:styleId="2ColumnHeading">
    <w:name w:val="2Column Heading"/>
    <w:basedOn w:val="BodyText"/>
    <w:qFormat/>
    <w:rsid w:val="00A00F02"/>
    <w:pPr>
      <w:spacing w:after="60"/>
      <w:ind w:left="-2268"/>
    </w:pPr>
    <w:rPr>
      <w:b/>
    </w:rPr>
  </w:style>
  <w:style w:type="paragraph" w:customStyle="1" w:styleId="Heading1TOC">
    <w:name w:val="Heading1 TOC"/>
    <w:basedOn w:val="Normal"/>
    <w:qFormat/>
    <w:rsid w:val="00A00F02"/>
    <w:pPr>
      <w:spacing w:before="240" w:after="120"/>
    </w:pPr>
    <w:rPr>
      <w:rFonts w:ascii="Times New Roman" w:hAnsi="Times New Roman"/>
      <w:b/>
      <w:sz w:val="32"/>
    </w:rPr>
  </w:style>
  <w:style w:type="paragraph" w:customStyle="1" w:styleId="Heading2TOC">
    <w:name w:val="Heading2 TOC"/>
    <w:basedOn w:val="Normal"/>
    <w:qFormat/>
    <w:rsid w:val="00A00F02"/>
    <w:pPr>
      <w:spacing w:before="240" w:after="60"/>
    </w:pPr>
    <w:rPr>
      <w:rFonts w:ascii="Times New Roman" w:hAnsi="Times New Roman"/>
      <w:b/>
      <w:sz w:val="28"/>
    </w:rPr>
  </w:style>
  <w:style w:type="character" w:customStyle="1" w:styleId="Underline">
    <w:name w:val="Underline"/>
    <w:basedOn w:val="DefaultParagraphFont"/>
    <w:qFormat/>
    <w:rsid w:val="00A00F02"/>
    <w:rPr>
      <w:u w:val="single"/>
    </w:rPr>
  </w:style>
  <w:style w:type="character" w:customStyle="1" w:styleId="BoldandItalics">
    <w:name w:val="Bold and Italics"/>
    <w:qFormat/>
    <w:rsid w:val="00A00F02"/>
    <w:rPr>
      <w:b/>
      <w:i/>
      <w:u w:val="none"/>
    </w:rPr>
  </w:style>
  <w:style w:type="paragraph" w:styleId="BalloonText">
    <w:name w:val="Balloon Text"/>
    <w:basedOn w:val="Normal"/>
    <w:link w:val="BalloonTextChar"/>
    <w:rsid w:val="00A00F02"/>
    <w:rPr>
      <w:rFonts w:ascii="Tahoma" w:hAnsi="Tahoma" w:cs="Tahoma"/>
      <w:sz w:val="16"/>
      <w:szCs w:val="16"/>
    </w:rPr>
  </w:style>
  <w:style w:type="character" w:customStyle="1" w:styleId="BalloonTextChar">
    <w:name w:val="Balloon Text Char"/>
    <w:basedOn w:val="DefaultParagraphFont"/>
    <w:link w:val="BalloonText"/>
    <w:rsid w:val="00A00F0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00F0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00F0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00F02"/>
    <w:rPr>
      <w:b/>
      <w:color w:val="660033"/>
      <w:spacing w:val="0"/>
    </w:rPr>
  </w:style>
  <w:style w:type="paragraph" w:customStyle="1" w:styleId="Nameditemlist">
    <w:name w:val="Named item list"/>
    <w:basedOn w:val="BodyText"/>
    <w:qFormat/>
    <w:rsid w:val="00A00F02"/>
    <w:pPr>
      <w:tabs>
        <w:tab w:val="left" w:pos="2835"/>
      </w:tabs>
      <w:ind w:left="2835" w:hanging="2835"/>
    </w:pPr>
  </w:style>
  <w:style w:type="paragraph" w:customStyle="1" w:styleId="BodyTextnopadding">
    <w:name w:val="Body Text no padding"/>
    <w:basedOn w:val="BodyText"/>
    <w:qFormat/>
    <w:rsid w:val="00A00F02"/>
    <w:pPr>
      <w:spacing w:before="0" w:after="0"/>
    </w:pPr>
  </w:style>
  <w:style w:type="paragraph" w:customStyle="1" w:styleId="BodyTextBold">
    <w:name w:val="Body Text Bold"/>
    <w:basedOn w:val="BodyText"/>
    <w:qFormat/>
    <w:rsid w:val="00A00F02"/>
    <w:rPr>
      <w:b/>
    </w:rPr>
  </w:style>
  <w:style w:type="character" w:styleId="Hyperlink">
    <w:name w:val="Hyperlink"/>
    <w:basedOn w:val="DefaultParagraphFont"/>
    <w:uiPriority w:val="99"/>
    <w:unhideWhenUsed/>
    <w:rsid w:val="00D0389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944</Words>
  <Characters>6303</Characters>
  <Application>Microsoft Office Word</Application>
  <DocSecurity>0</DocSecurity>
  <Lines>170</Lines>
  <Paragraphs>118</Paragraphs>
  <ScaleCrop>false</ScaleCrop>
  <Company>Author-it Software Corporation Ltd.</Company>
  <LinksUpToDate>false</LinksUpToDate>
  <CharactersWithSpaces>7129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RIIRAI510D Implement, monitor, rectify and report on interfaces between electrical and mechanical componentry</dc:title>
  <dc:subject>Approved</dc:subject>
  <dc:creator>PwC’s Skills for Australia</dc:creator>
  <cp:keywords>Release: 2</cp:keywords>
  <dc:description>Review Date: 12 April 2008</dc:description>
  <cp:lastModifiedBy>HSD_TPCMSd.prod</cp:lastModifiedBy>
  <cp:revision>3</cp:revision>
  <dcterms:created xsi:type="dcterms:W3CDTF">2022-10-18T13:53:00Z</dcterms:created>
  <dcterms:modified xsi:type="dcterms:W3CDTF">2022-10-18T13:53:00Z</dcterms:modified>
</cp:coreProperties>
</file>