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341" w:rsidP="00C06341">
      <w:pPr>
        <w:pStyle w:val="Title"/>
      </w:pPr>
      <w:r>
        <w:fldChar w:fldCharType="begin"/>
      </w:r>
      <w:r>
        <w:instrText xml:space="preserve"> TITLE   \* MERGEFORMAT </w:instrText>
      </w:r>
      <w:r>
        <w:fldChar w:fldCharType="separate"/>
      </w:r>
      <w:r>
        <w:t>Assessment Requirements for RIIRAI509D Implement mine fixed plant and infrastructure systems</w:t>
      </w:r>
      <w:r>
        <w:fldChar w:fldCharType="end"/>
      </w:r>
    </w:p>
    <w:p w:rsidR="00C06341" w:rsidP="00C06341">
      <w:pPr>
        <w:pStyle w:val="Version"/>
        <w:sectPr w:rsidSect="00AD30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3068" w:rsidP="00AD3068">
      <w:pPr>
        <w:pStyle w:val="SuperHeading"/>
      </w:pPr>
      <w:r w:rsidRPr="00AD3068">
        <w:t>Assessment Requirements for RIIRAI509D Implement mine fixed plant and infrastructure systems</w:t>
      </w:r>
    </w:p>
    <w:p w:rsidR="00000000" w:rsidRPr="00AD3068" w:rsidP="00AD3068">
      <w:pPr>
        <w:pStyle w:val="Heading1"/>
      </w:pPr>
      <w:bookmarkStart w:id="1" w:name="O_686274"/>
      <w:bookmarkEnd w:id="1"/>
      <w:r w:rsidRPr="00AD3068">
        <w:t>Modification History</w:t>
      </w:r>
    </w:p>
    <w:tbl>
      <w:tblPr>
        <w:tblW w:w="0" w:type="auto"/>
        <w:tblCellMar>
          <w:left w:w="62" w:type="dxa"/>
          <w:right w:w="62" w:type="dxa"/>
        </w:tblCellMar>
        <w:tblLook w:val="0000"/>
      </w:tblPr>
      <w:tblGrid>
        <w:gridCol w:w="1107"/>
        <w:gridCol w:w="8089"/>
      </w:tblGrid>
      <w:tr w:rsidTr="00C06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068">
            <w:pPr>
              <w:pStyle w:val="Heading4"/>
              <w:rPr>
                <w:lang w:val="en-NZ"/>
              </w:rPr>
            </w:pPr>
            <w:r w:rsidRPr="00AD306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068">
            <w:pPr>
              <w:pStyle w:val="Heading4"/>
              <w:rPr>
                <w:lang w:val="en-NZ"/>
              </w:rPr>
            </w:pPr>
            <w:r w:rsidRPr="00AD3068">
              <w:t>Comment</w:t>
            </w:r>
          </w:p>
        </w:tc>
      </w:tr>
      <w:tr w:rsidTr="00C06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068">
            <w:pPr>
              <w:pStyle w:val="BodyText"/>
              <w:rPr>
                <w:lang w:val="en-NZ"/>
              </w:rPr>
            </w:pPr>
            <w:r w:rsidRPr="00AD306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068">
            <w:pPr>
              <w:pStyle w:val="BodyText"/>
              <w:rPr>
                <w:lang w:val="en-NZ"/>
              </w:rPr>
            </w:pPr>
            <w:r w:rsidRPr="00AD3068">
              <w:t>This unit replaces RIIRAI509A Implement mine fixed plant and infrastructure systems</w:t>
            </w:r>
          </w:p>
        </w:tc>
      </w:tr>
      <w:tr w:rsidTr="00C063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3068">
            <w:pPr>
              <w:pStyle w:val="BodyText"/>
              <w:rPr>
                <w:lang w:val="en-NZ"/>
              </w:rPr>
            </w:pPr>
            <w:r w:rsidRPr="00AD306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3068" w:rsidP="00AD3068">
            <w:pPr>
              <w:pStyle w:val="BodyText"/>
            </w:pPr>
            <w:r w:rsidRPr="00AD3068">
              <w:t>Required frequency and volume of evidence amended in Performance evidence.</w:t>
            </w:r>
          </w:p>
          <w:p w:rsidR="00000000" w:rsidRPr="00AD3068" w:rsidP="00AD3068">
            <w:pPr>
              <w:pStyle w:val="BodyText"/>
            </w:pPr>
            <w:r w:rsidRPr="00AD3068">
              <w:t>Substantial amendments made in Assessment Conditions field, including: references to Industry Sectors, assessor and subject matter expert experience requirements, how assessment sho</w:t>
            </w:r>
            <w:r w:rsidRPr="00AD3068">
              <w:t>uld be conducted and what it should confirm.</w:t>
            </w:r>
          </w:p>
        </w:tc>
      </w:tr>
    </w:tbl>
    <w:p w:rsidR="00000000" w:rsidRPr="00AD3068" w:rsidP="00AD3068">
      <w:pPr>
        <w:pStyle w:val="BodyText"/>
      </w:pPr>
    </w:p>
    <w:p w:rsidR="00000000" w:rsidRPr="00AD3068" w:rsidP="00AD3068">
      <w:pPr>
        <w:pStyle w:val="AllowPageBreak"/>
      </w:pPr>
    </w:p>
    <w:p w:rsidR="00000000" w:rsidRPr="00AD3068" w:rsidP="00AD3068">
      <w:pPr>
        <w:pStyle w:val="Heading1"/>
      </w:pPr>
      <w:bookmarkStart w:id="2" w:name="O_686273"/>
      <w:bookmarkEnd w:id="2"/>
      <w:r w:rsidRPr="00AD3068">
        <w:t>Performance Evidence</w:t>
      </w:r>
    </w:p>
    <w:p w:rsidR="00000000" w:rsidRPr="00AD3068" w:rsidP="00C06341">
      <w:pPr>
        <w:pStyle w:val="BodyText"/>
      </w:pPr>
      <w:r w:rsidRPr="00AD3068">
        <w:t>Evidence is required to be collected that demonstrates a candidate’s competency in this unit. Evidence must be relevant to the roles within this sector’s work operations a</w:t>
      </w:r>
      <w:r w:rsidRPr="00AD3068">
        <w:t>nd satisfy all of the requirements of the performance criteria of this unit and include evidence that the candidate:</w:t>
      </w:r>
    </w:p>
    <w:p w:rsidR="00000000" w:rsidRPr="00AD3068" w:rsidP="00AD3068">
      <w:pPr>
        <w:pStyle w:val="ListBullet"/>
      </w:pPr>
      <w:r w:rsidRPr="00AD3068">
        <w:t>locates and applies relevant legislation, documentation, policies and procedures</w:t>
      </w:r>
    </w:p>
    <w:p w:rsidR="00000000" w:rsidRPr="00AD3068" w:rsidP="00AD3068">
      <w:pPr>
        <w:pStyle w:val="ListBullet"/>
      </w:pPr>
      <w:r w:rsidRPr="00AD3068">
        <w:t>implements the requirements, procedures and techniques for the safe, effective and efficient implementation of mine fixed plant and infrastructure systems including:</w:t>
      </w:r>
    </w:p>
    <w:p w:rsidR="00000000" w:rsidRPr="00AD3068" w:rsidP="00AD3068">
      <w:pPr>
        <w:pStyle w:val="ListBullet2"/>
      </w:pPr>
      <w:r w:rsidRPr="00AD3068">
        <w:t xml:space="preserve">identifying and addressing training needs </w:t>
      </w:r>
    </w:p>
    <w:p w:rsidR="00000000" w:rsidRPr="00AD3068" w:rsidP="00AD3068">
      <w:pPr>
        <w:pStyle w:val="ListBullet2"/>
      </w:pPr>
      <w:r w:rsidRPr="00AD3068">
        <w:t>implementing hazard identification and risks a</w:t>
      </w:r>
      <w:r w:rsidRPr="00AD3068">
        <w:t>ssessment processes</w:t>
      </w:r>
    </w:p>
    <w:p w:rsidR="00000000" w:rsidRPr="00AD3068" w:rsidP="00AD3068">
      <w:pPr>
        <w:pStyle w:val="ListBullet2"/>
      </w:pPr>
      <w:r w:rsidRPr="00AD3068">
        <w:t>managing work planning and coordination activities</w:t>
      </w:r>
    </w:p>
    <w:p w:rsidR="00000000" w:rsidRPr="00AD3068" w:rsidP="00AD3068">
      <w:pPr>
        <w:pStyle w:val="ListBullet2"/>
      </w:pPr>
      <w:r w:rsidRPr="00AD3068">
        <w:t>accessing, interpreting and applying manufacturer’s instructions</w:t>
      </w:r>
    </w:p>
    <w:p w:rsidR="00000000" w:rsidRPr="00AD3068" w:rsidP="00AD3068">
      <w:pPr>
        <w:pStyle w:val="ListBullet"/>
      </w:pPr>
      <w:r w:rsidRPr="00AD3068">
        <w:t>accessing, interpreting and applying:</w:t>
      </w:r>
    </w:p>
    <w:p w:rsidR="00000000" w:rsidRPr="00AD3068" w:rsidP="00AD3068">
      <w:pPr>
        <w:pStyle w:val="ListBullet2"/>
      </w:pPr>
      <w:r w:rsidRPr="00AD3068">
        <w:t>technical information</w:t>
      </w:r>
    </w:p>
    <w:p w:rsidR="00000000" w:rsidRPr="00AD3068" w:rsidP="00AD3068">
      <w:pPr>
        <w:pStyle w:val="ListBullet2"/>
      </w:pPr>
      <w:r w:rsidRPr="00AD3068">
        <w:t>briefings and handover details</w:t>
      </w:r>
    </w:p>
    <w:p w:rsidR="00000000" w:rsidRPr="00AD3068" w:rsidP="00AD3068">
      <w:pPr>
        <w:pStyle w:val="ListBullet2"/>
      </w:pPr>
      <w:r w:rsidRPr="00AD3068">
        <w:t>site/legislative requiremen</w:t>
      </w:r>
      <w:r w:rsidRPr="00AD3068">
        <w:t>ts</w:t>
      </w:r>
    </w:p>
    <w:p w:rsidR="00000000" w:rsidRPr="00AD3068" w:rsidP="00AD3068">
      <w:pPr>
        <w:pStyle w:val="ListBullet2"/>
      </w:pPr>
      <w:r w:rsidRPr="00AD3068">
        <w:t>records and reports</w:t>
      </w:r>
    </w:p>
    <w:p w:rsidR="00000000" w:rsidRPr="00AD3068" w:rsidP="00AD3068">
      <w:pPr>
        <w:pStyle w:val="ListBullet2"/>
      </w:pPr>
      <w:r w:rsidRPr="00AD3068">
        <w:t>applying maintenance survey procedures</w:t>
      </w:r>
    </w:p>
    <w:p w:rsidR="00000000" w:rsidRPr="00AD3068" w:rsidP="00AD3068">
      <w:pPr>
        <w:pStyle w:val="ListBullet"/>
      </w:pPr>
      <w:r w:rsidRPr="00AD3068">
        <w:t>works effectively with others to implement mine fixed plant and infrastructure systems including:</w:t>
      </w:r>
    </w:p>
    <w:p w:rsidR="00000000" w:rsidRPr="00AD3068" w:rsidP="00AD3068">
      <w:pPr>
        <w:pStyle w:val="ListBullet2"/>
      </w:pPr>
      <w:r w:rsidRPr="00AD3068">
        <w:t>providing team leadership</w:t>
      </w:r>
    </w:p>
    <w:p w:rsidR="00000000" w:rsidRPr="00AD3068" w:rsidP="00AD3068">
      <w:pPr>
        <w:pStyle w:val="ListBullet2"/>
      </w:pPr>
      <w:r w:rsidRPr="00AD3068">
        <w:t>managing people and processes</w:t>
      </w:r>
    </w:p>
    <w:p w:rsidR="00000000" w:rsidRPr="00AD3068" w:rsidP="00AD3068">
      <w:pPr>
        <w:pStyle w:val="ListBullet2"/>
      </w:pPr>
      <w:r w:rsidRPr="00AD3068">
        <w:t>resolving conflict</w:t>
      </w:r>
    </w:p>
    <w:p w:rsidR="00000000" w:rsidRPr="00AD3068" w:rsidP="00AD3068">
      <w:pPr>
        <w:pStyle w:val="ListBullet2"/>
      </w:pPr>
      <w:r w:rsidRPr="00AD3068">
        <w:t xml:space="preserve">coordinating human, financial and physical resources </w:t>
      </w:r>
    </w:p>
    <w:p w:rsidR="00000000" w:rsidRPr="00AD3068" w:rsidP="00AD3068">
      <w:pPr>
        <w:pStyle w:val="ListBullet2"/>
      </w:pPr>
      <w:r w:rsidRPr="00AD3068">
        <w:t>developing, initiating and administering work plans</w:t>
      </w:r>
    </w:p>
    <w:p w:rsidR="00000000" w:rsidRPr="00AD3068" w:rsidP="00AD3068">
      <w:pPr>
        <w:pStyle w:val="ListBullet2"/>
      </w:pPr>
      <w:r w:rsidRPr="00AD3068">
        <w:t>interpreting and applying operational performance data</w:t>
      </w:r>
    </w:p>
    <w:p w:rsidR="00000000" w:rsidRPr="00AD3068" w:rsidP="00AD3068">
      <w:pPr>
        <w:pStyle w:val="ListBullet2"/>
      </w:pPr>
      <w:r w:rsidRPr="00AD3068">
        <w:t xml:space="preserve">engaging internal and external stakeholders </w:t>
      </w:r>
    </w:p>
    <w:p w:rsidR="00000000" w:rsidRPr="00AD3068" w:rsidP="00AD3068">
      <w:pPr>
        <w:pStyle w:val="ListBullet"/>
      </w:pPr>
      <w:r w:rsidRPr="00AD3068">
        <w:t xml:space="preserve">demonstrates completion of the implementation of </w:t>
      </w:r>
      <w:r w:rsidRPr="00AD3068">
        <w:t>mine fixed plant and infrastructure systems that safely, effectively and efficiently meets all of the required outcomes on more than one (1) occasion including:</w:t>
      </w:r>
    </w:p>
    <w:p w:rsidR="00000000" w:rsidRPr="00AD3068" w:rsidP="00AD3068">
      <w:pPr>
        <w:pStyle w:val="ListBullet2"/>
      </w:pPr>
      <w:r w:rsidRPr="00AD3068">
        <w:t xml:space="preserve">identification and selection of viable options for the implementation of mine fixed plant and </w:t>
      </w:r>
      <w:r w:rsidRPr="00AD3068">
        <w:t>infrastructure systems that best meet the required outcomes through:</w:t>
      </w:r>
    </w:p>
    <w:p w:rsidR="00000000" w:rsidRPr="00AD3068" w:rsidP="00AD3068">
      <w:pPr>
        <w:pStyle w:val="ListBullet3"/>
      </w:pPr>
      <w:r w:rsidRPr="00AD3068">
        <w:t>accessing, interpreting and applying safety design features of the systems</w:t>
      </w:r>
    </w:p>
    <w:p w:rsidR="00000000" w:rsidRPr="00AD3068" w:rsidP="00AD3068">
      <w:pPr>
        <w:pStyle w:val="ListBullet3"/>
      </w:pPr>
      <w:r w:rsidRPr="00AD3068">
        <w:t>accessing, interpreting and applying maintenance and modification systems implementation requirem</w:t>
      </w:r>
      <w:r w:rsidRPr="00AD3068">
        <w:t>ents and procedures</w:t>
      </w:r>
    </w:p>
    <w:p w:rsidR="00000000" w:rsidRPr="00AD3068" w:rsidP="00AD3068">
      <w:pPr>
        <w:pStyle w:val="ListBullet2"/>
      </w:pPr>
      <w:r w:rsidRPr="00AD3068">
        <w:t>identifying and interpreting all aspects of mine fixed plant including a minimum of three (3) of the following:</w:t>
      </w:r>
    </w:p>
    <w:p w:rsidR="00000000" w:rsidRPr="00AD3068" w:rsidP="00AD3068">
      <w:pPr>
        <w:pStyle w:val="ListBullet3"/>
      </w:pPr>
      <w:r w:rsidRPr="00AD3068">
        <w:t>crushers</w:t>
      </w:r>
    </w:p>
    <w:p w:rsidR="00000000" w:rsidRPr="00AD3068" w:rsidP="00AD3068">
      <w:pPr>
        <w:pStyle w:val="ListBullet3"/>
      </w:pPr>
      <w:r w:rsidRPr="00AD3068">
        <w:t>screens</w:t>
      </w:r>
    </w:p>
    <w:p w:rsidR="00000000" w:rsidRPr="00AD3068" w:rsidP="00AD3068">
      <w:pPr>
        <w:pStyle w:val="ListBullet3"/>
      </w:pPr>
      <w:r w:rsidRPr="00AD3068">
        <w:t>conveyors</w:t>
      </w:r>
    </w:p>
    <w:p w:rsidR="00000000" w:rsidRPr="00AD3068" w:rsidP="00AD3068">
      <w:pPr>
        <w:pStyle w:val="ListBullet3"/>
      </w:pPr>
      <w:r w:rsidRPr="00AD3068">
        <w:t>feeders</w:t>
      </w:r>
    </w:p>
    <w:p w:rsidR="00000000" w:rsidRPr="00AD3068" w:rsidP="00AD3068">
      <w:pPr>
        <w:pStyle w:val="ListBullet3"/>
      </w:pPr>
      <w:r w:rsidRPr="00AD3068">
        <w:t>coal or waste handling systems</w:t>
      </w:r>
    </w:p>
    <w:p w:rsidR="00000000" w:rsidRPr="00AD3068" w:rsidP="00AD3068">
      <w:pPr>
        <w:pStyle w:val="ListBullet2"/>
      </w:pPr>
      <w:r w:rsidRPr="00AD3068">
        <w:t>identifying all aspects of the mine infrastructure syst</w:t>
      </w:r>
      <w:r w:rsidRPr="00AD3068">
        <w:t>ems including a minimum of five (5) of the following:</w:t>
      </w:r>
    </w:p>
    <w:p w:rsidR="00000000" w:rsidRPr="00AD3068" w:rsidP="00AD3068">
      <w:pPr>
        <w:pStyle w:val="ListBullet3"/>
      </w:pPr>
      <w:r w:rsidRPr="00AD3068">
        <w:t>roads and railways</w:t>
      </w:r>
    </w:p>
    <w:p w:rsidR="00000000" w:rsidRPr="00AD3068" w:rsidP="00AD3068">
      <w:pPr>
        <w:pStyle w:val="ListBullet3"/>
      </w:pPr>
      <w:r w:rsidRPr="00AD3068">
        <w:t>dams</w:t>
      </w:r>
    </w:p>
    <w:p w:rsidR="00000000" w:rsidRPr="00AD3068" w:rsidP="00AD3068">
      <w:pPr>
        <w:pStyle w:val="ListBullet3"/>
      </w:pPr>
      <w:r w:rsidRPr="00AD3068">
        <w:t>fencing</w:t>
      </w:r>
    </w:p>
    <w:p w:rsidR="00000000" w:rsidRPr="00AD3068" w:rsidP="00AD3068">
      <w:pPr>
        <w:pStyle w:val="ListBullet3"/>
      </w:pPr>
      <w:r w:rsidRPr="00AD3068">
        <w:t>stockpile/product bays</w:t>
      </w:r>
    </w:p>
    <w:p w:rsidR="00000000" w:rsidRPr="00AD3068" w:rsidP="00AD3068">
      <w:pPr>
        <w:pStyle w:val="ListBullet3"/>
      </w:pPr>
      <w:r w:rsidRPr="00AD3068">
        <w:t>salvage area</w:t>
      </w:r>
    </w:p>
    <w:p w:rsidR="00000000" w:rsidRPr="00AD3068" w:rsidP="00AD3068">
      <w:pPr>
        <w:pStyle w:val="ListBullet3"/>
      </w:pPr>
      <w:r w:rsidRPr="00AD3068">
        <w:t>reticulation systems</w:t>
      </w:r>
    </w:p>
    <w:p w:rsidR="00000000" w:rsidRPr="00AD3068" w:rsidP="00AD3068">
      <w:pPr>
        <w:pStyle w:val="ListBullet3"/>
      </w:pPr>
      <w:r w:rsidRPr="00AD3068">
        <w:t>car park</w:t>
      </w:r>
    </w:p>
    <w:p w:rsidR="00000000" w:rsidRPr="00AD3068" w:rsidP="00AD3068">
      <w:pPr>
        <w:pStyle w:val="ListBullet3"/>
      </w:pPr>
      <w:r w:rsidRPr="00AD3068">
        <w:t>communications</w:t>
      </w:r>
    </w:p>
    <w:p w:rsidR="00000000" w:rsidRPr="00AD3068" w:rsidP="00AD3068">
      <w:pPr>
        <w:pStyle w:val="ListBullet3"/>
      </w:pPr>
      <w:r w:rsidRPr="00AD3068">
        <w:t>power supply</w:t>
      </w:r>
    </w:p>
    <w:p w:rsidR="00000000" w:rsidRPr="00AD3068" w:rsidP="00AD3068">
      <w:pPr>
        <w:pStyle w:val="ListBullet3"/>
      </w:pPr>
      <w:r w:rsidRPr="00AD3068">
        <w:t>tailings</w:t>
      </w:r>
    </w:p>
    <w:p w:rsidR="00000000" w:rsidRPr="00AD3068" w:rsidP="00AD3068">
      <w:pPr>
        <w:pStyle w:val="ListBullet3"/>
      </w:pPr>
      <w:r w:rsidRPr="00AD3068">
        <w:t>buildings</w:t>
      </w:r>
    </w:p>
    <w:p w:rsidR="00000000" w:rsidRPr="00AD3068" w:rsidP="00AD3068">
      <w:pPr>
        <w:pStyle w:val="ListBullet2"/>
      </w:pPr>
      <w:r w:rsidRPr="00AD3068">
        <w:t xml:space="preserve">implementing installation and commissioning procedures for fixed plant and infrastructure </w:t>
      </w:r>
    </w:p>
    <w:p w:rsidR="00000000" w:rsidRPr="00AD3068" w:rsidP="00AD3068">
      <w:pPr>
        <w:pStyle w:val="ListBullet2"/>
      </w:pPr>
      <w:r w:rsidRPr="00AD3068">
        <w:t>managing the audit and review processes</w:t>
      </w:r>
    </w:p>
    <w:p w:rsidR="00000000" w:rsidRPr="00AD3068" w:rsidP="00AD3068">
      <w:pPr>
        <w:pStyle w:val="AllowPageBreak"/>
      </w:pPr>
    </w:p>
    <w:p w:rsidR="00000000" w:rsidRPr="00AD3068" w:rsidP="00AD3068">
      <w:pPr>
        <w:pStyle w:val="Heading1"/>
      </w:pPr>
      <w:bookmarkStart w:id="3" w:name="O_686272"/>
      <w:bookmarkEnd w:id="3"/>
      <w:r w:rsidRPr="00AD3068">
        <w:t>Knowledge Evidence</w:t>
      </w:r>
    </w:p>
    <w:p w:rsidR="00000000" w:rsidRPr="00AD3068" w:rsidP="00C06341">
      <w:pPr>
        <w:pStyle w:val="BodyText"/>
      </w:pPr>
      <w:r w:rsidRPr="00AD3068">
        <w:t>The candidate must demonstrate knowledge in implementing mine fixed plant and infrastruct</w:t>
      </w:r>
      <w:r w:rsidRPr="00AD3068">
        <w:t>ure systems through:</w:t>
      </w:r>
    </w:p>
    <w:p w:rsidR="00000000" w:rsidRPr="00AD3068" w:rsidP="00AD3068">
      <w:pPr>
        <w:pStyle w:val="ListBullet2"/>
      </w:pPr>
      <w:r w:rsidRPr="00AD3068">
        <w:t>legislative, Australian standards, organisation and site requirements and procedures for;</w:t>
      </w:r>
    </w:p>
    <w:p w:rsidR="00000000" w:rsidRPr="00AD3068" w:rsidP="00AD3068">
      <w:pPr>
        <w:pStyle w:val="ListBullet3"/>
      </w:pPr>
      <w:r w:rsidRPr="00AD3068">
        <w:t>mine plan</w:t>
      </w:r>
    </w:p>
    <w:p w:rsidR="00000000" w:rsidRPr="00AD3068" w:rsidP="00AD3068">
      <w:pPr>
        <w:pStyle w:val="ListBullet3"/>
      </w:pPr>
      <w:r w:rsidRPr="00AD3068">
        <w:t>electrical rules</w:t>
      </w:r>
    </w:p>
    <w:p w:rsidR="00000000" w:rsidRPr="00AD3068" w:rsidP="00AD3068">
      <w:pPr>
        <w:pStyle w:val="ListBullet3"/>
      </w:pPr>
      <w:r w:rsidRPr="00AD3068">
        <w:t>electrical/mechanical equipment</w:t>
      </w:r>
    </w:p>
    <w:p w:rsidR="00000000" w:rsidRPr="00AD3068" w:rsidP="00AD3068">
      <w:pPr>
        <w:pStyle w:val="ListBullet3"/>
      </w:pPr>
      <w:r w:rsidRPr="00AD3068">
        <w:t>emergency response and disaster planning processes</w:t>
      </w:r>
    </w:p>
    <w:p w:rsidR="00000000" w:rsidRPr="00AD3068" w:rsidP="00AD3068">
      <w:pPr>
        <w:pStyle w:val="ListBullet3"/>
      </w:pPr>
      <w:r w:rsidRPr="00AD3068">
        <w:t>audit review</w:t>
      </w:r>
    </w:p>
    <w:p w:rsidR="00000000" w:rsidRPr="00AD3068" w:rsidP="00AD3068">
      <w:pPr>
        <w:pStyle w:val="ListBullet3"/>
      </w:pPr>
      <w:r w:rsidRPr="00AD3068">
        <w:t>site document control</w:t>
      </w:r>
    </w:p>
    <w:p w:rsidR="00000000" w:rsidRPr="00AD3068" w:rsidP="00AD3068">
      <w:pPr>
        <w:pStyle w:val="ListBullet3"/>
      </w:pPr>
      <w:r w:rsidRPr="00AD3068">
        <w:t>site environmental monitoring</w:t>
      </w:r>
    </w:p>
    <w:p w:rsidR="00000000" w:rsidRPr="00AD3068" w:rsidP="00AD3068">
      <w:pPr>
        <w:pStyle w:val="ListBullet3"/>
      </w:pPr>
      <w:r w:rsidRPr="00AD3068">
        <w:t>risk management</w:t>
      </w:r>
    </w:p>
    <w:p w:rsidR="00000000" w:rsidRPr="00AD3068" w:rsidP="00AD3068">
      <w:pPr>
        <w:pStyle w:val="ListBullet3"/>
      </w:pPr>
      <w:r w:rsidRPr="00AD3068">
        <w:t>site recording and reporting</w:t>
      </w:r>
    </w:p>
    <w:p w:rsidR="00000000" w:rsidRPr="00AD3068" w:rsidP="00AD3068">
      <w:pPr>
        <w:pStyle w:val="ListBullet3"/>
      </w:pPr>
      <w:r w:rsidRPr="00AD3068">
        <w:t xml:space="preserve">managing energy sources including electrical, hydraulic, pneumatic, diesel </w:t>
      </w:r>
    </w:p>
    <w:p w:rsidR="00000000" w:rsidRPr="00AD3068" w:rsidP="00AD3068">
      <w:pPr>
        <w:pStyle w:val="ListBullet3"/>
      </w:pPr>
      <w:r w:rsidRPr="00AD3068">
        <w:t>communications</w:t>
      </w:r>
    </w:p>
    <w:p w:rsidR="00000000" w:rsidRPr="00AD3068" w:rsidP="00AD3068">
      <w:pPr>
        <w:pStyle w:val="ListBullet3"/>
      </w:pPr>
      <w:r w:rsidRPr="00AD3068">
        <w:t>mines rescue</w:t>
      </w:r>
    </w:p>
    <w:p w:rsidR="00000000" w:rsidRPr="00AD3068" w:rsidP="00AD3068">
      <w:pPr>
        <w:pStyle w:val="ListBullet3"/>
      </w:pPr>
      <w:r w:rsidRPr="00AD3068">
        <w:t>work, health and safety</w:t>
      </w:r>
    </w:p>
    <w:p w:rsidR="00000000" w:rsidRPr="00AD3068" w:rsidP="00AD3068">
      <w:pPr>
        <w:pStyle w:val="ListBullet3"/>
      </w:pPr>
      <w:r w:rsidRPr="00AD3068">
        <w:t>implementing manufacturer’s ins</w:t>
      </w:r>
      <w:r w:rsidRPr="00AD3068">
        <w:t>tructions</w:t>
      </w:r>
    </w:p>
    <w:p w:rsidR="00000000" w:rsidRPr="00AD3068" w:rsidP="00AD3068">
      <w:pPr>
        <w:pStyle w:val="ListBullet3"/>
      </w:pPr>
      <w:r w:rsidRPr="00AD3068">
        <w:t>standard work procedures</w:t>
      </w:r>
    </w:p>
    <w:p w:rsidR="00000000" w:rsidRPr="00AD3068" w:rsidP="00AD3068">
      <w:pPr>
        <w:pStyle w:val="ListBullet3"/>
      </w:pPr>
      <w:r w:rsidRPr="00AD3068">
        <w:t>training</w:t>
      </w:r>
    </w:p>
    <w:p w:rsidR="00000000" w:rsidRPr="00AD3068" w:rsidP="00AD3068">
      <w:pPr>
        <w:pStyle w:val="ListBullet3"/>
      </w:pPr>
      <w:r w:rsidRPr="00AD3068">
        <w:t>fire fighting</w:t>
      </w:r>
    </w:p>
    <w:p w:rsidR="00000000" w:rsidRPr="00AD3068" w:rsidP="00AD3068">
      <w:pPr>
        <w:pStyle w:val="ListBullet3"/>
      </w:pPr>
      <w:r w:rsidRPr="00AD3068">
        <w:t>handling and storage of dangerous goods</w:t>
      </w:r>
    </w:p>
    <w:p w:rsidR="00000000" w:rsidRPr="00AD3068" w:rsidP="00AD3068">
      <w:pPr>
        <w:pStyle w:val="ListBullet3"/>
      </w:pPr>
      <w:r w:rsidRPr="00AD3068">
        <w:t>local government requirement</w:t>
      </w:r>
    </w:p>
    <w:p w:rsidR="00000000" w:rsidRPr="00AD3068" w:rsidP="00AD3068">
      <w:pPr>
        <w:pStyle w:val="ListBullet3"/>
      </w:pPr>
      <w:r w:rsidRPr="00AD3068">
        <w:t>local power authority</w:t>
      </w:r>
    </w:p>
    <w:p w:rsidR="00000000" w:rsidRPr="00AD3068" w:rsidP="00AD3068">
      <w:pPr>
        <w:pStyle w:val="ListBullet2"/>
      </w:pPr>
      <w:r w:rsidRPr="00AD3068">
        <w:t xml:space="preserve">open cut mine operations systems and procedures </w:t>
      </w:r>
    </w:p>
    <w:p w:rsidR="00000000" w:rsidRPr="00AD3068" w:rsidP="00AD3068">
      <w:pPr>
        <w:pStyle w:val="ListBullet2"/>
      </w:pPr>
      <w:r w:rsidRPr="00AD3068">
        <w:t>stores systems</w:t>
      </w:r>
    </w:p>
    <w:p w:rsidR="00000000" w:rsidRPr="00AD3068" w:rsidP="00AD3068">
      <w:pPr>
        <w:pStyle w:val="ListBullet2"/>
      </w:pPr>
      <w:r w:rsidRPr="00AD3068">
        <w:t>protection systems</w:t>
      </w:r>
    </w:p>
    <w:p w:rsidR="00000000" w:rsidRPr="00AD3068" w:rsidP="00AD3068">
      <w:pPr>
        <w:pStyle w:val="ListBullet2"/>
      </w:pPr>
      <w:r w:rsidRPr="00AD3068">
        <w:t>reticulation systems</w:t>
      </w:r>
    </w:p>
    <w:p w:rsidR="00000000" w:rsidRPr="00AD3068" w:rsidP="00AD3068">
      <w:pPr>
        <w:pStyle w:val="ListBullet2"/>
      </w:pPr>
      <w:r w:rsidRPr="00AD3068">
        <w:t>specifications for fixed plant and infrastructure</w:t>
      </w:r>
    </w:p>
    <w:p w:rsidR="00000000" w:rsidRPr="00AD3068" w:rsidP="00AD3068">
      <w:pPr>
        <w:pStyle w:val="ListBullet2"/>
      </w:pPr>
      <w:r w:rsidRPr="00AD3068">
        <w:t>mine design principles and procedures relating to fixed plant and infrastructure</w:t>
      </w:r>
    </w:p>
    <w:p w:rsidR="00000000" w:rsidRPr="00AD3068" w:rsidP="00AD3068">
      <w:pPr>
        <w:pStyle w:val="ListBullet2"/>
      </w:pPr>
      <w:r w:rsidRPr="00AD3068">
        <w:t>computer based systems</w:t>
      </w:r>
    </w:p>
    <w:p w:rsidR="00000000" w:rsidRPr="00AD3068" w:rsidP="00AD3068">
      <w:pPr>
        <w:pStyle w:val="ListBullet2"/>
      </w:pPr>
      <w:r w:rsidRPr="00AD3068">
        <w:t>firefighting systems and precaution rules</w:t>
      </w:r>
    </w:p>
    <w:p w:rsidR="00000000" w:rsidRPr="00AD3068" w:rsidP="00AD3068">
      <w:pPr>
        <w:pStyle w:val="ListBullet2"/>
      </w:pPr>
      <w:r w:rsidRPr="00AD3068">
        <w:t>safety design features for maintenance of fixed plant and in</w:t>
      </w:r>
      <w:r w:rsidRPr="00AD3068">
        <w:t>frastructure</w:t>
      </w:r>
    </w:p>
    <w:p w:rsidR="00000000" w:rsidRPr="00AD3068" w:rsidP="00AD3068">
      <w:pPr>
        <w:pStyle w:val="AllowPageBreak"/>
      </w:pPr>
    </w:p>
    <w:p w:rsidR="00000000" w:rsidRPr="00AD3068" w:rsidP="00AD3068">
      <w:pPr>
        <w:pStyle w:val="Heading1"/>
      </w:pPr>
      <w:bookmarkStart w:id="4" w:name="O_686271"/>
      <w:bookmarkEnd w:id="4"/>
      <w:r w:rsidRPr="00AD3068">
        <w:t>Assessment Conditions</w:t>
      </w:r>
    </w:p>
    <w:p w:rsidR="00000000" w:rsidRPr="00AD3068" w:rsidP="00AD3068">
      <w:pPr>
        <w:pStyle w:val="ListBullet"/>
      </w:pPr>
      <w:r w:rsidRPr="00AD3068">
        <w:t xml:space="preserve">An assessor of this unit must satisfy the requirements of the NVR/AQTF or their successors; and Industry regulations for certification and licensing; and, </w:t>
      </w:r>
    </w:p>
    <w:p w:rsidR="00000000" w:rsidRPr="00AD3068" w:rsidP="00AD3068">
      <w:pPr>
        <w:pStyle w:val="ListBullet"/>
      </w:pPr>
      <w:r w:rsidRPr="00AD3068">
        <w:t>this unit must be assessed in the context of th</w:t>
      </w:r>
      <w:r w:rsidRPr="00AD3068">
        <w:t>is sector’s work environment; and,</w:t>
      </w:r>
    </w:p>
    <w:p w:rsidR="00000000" w:rsidRPr="00AD3068" w:rsidP="00AD3068">
      <w:pPr>
        <w:pStyle w:val="ListBullet"/>
      </w:pPr>
      <w:r w:rsidRPr="00AD3068">
        <w:t>this unit must be assessed in compliance with relevant legislation/regulation and using policies, procedures, processes and operational manuals directly related to the industry sector for which it is being assessed; and,</w:t>
      </w:r>
    </w:p>
    <w:p w:rsidR="00000000" w:rsidRPr="00AD3068" w:rsidP="00AD3068">
      <w:pPr>
        <w:pStyle w:val="ListBullet"/>
      </w:pPr>
      <w:r w:rsidRPr="00AD3068">
        <w:t>assessment may be conducted in conjunction with the assessment of other Units of Competency; and,</w:t>
      </w:r>
    </w:p>
    <w:p w:rsidR="00000000" w:rsidRPr="00AD3068" w:rsidP="00AD3068">
      <w:pPr>
        <w:pStyle w:val="ListBullet"/>
      </w:pPr>
      <w:r w:rsidRPr="00AD3068">
        <w:t>assessment must confirm consistent performance can be applied in a range of relevant workplace circumstances; and,</w:t>
      </w:r>
    </w:p>
    <w:p w:rsidR="00000000" w:rsidRPr="00AD3068" w:rsidP="00AD3068">
      <w:pPr>
        <w:pStyle w:val="ListBullet"/>
      </w:pPr>
      <w:r w:rsidRPr="00AD306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D3068" w:rsidP="00AD3068">
      <w:pPr>
        <w:pStyle w:val="ListBullet"/>
      </w:pPr>
      <w:r w:rsidRPr="00AD3068">
        <w:t>wh</w:t>
      </w:r>
      <w:r w:rsidRPr="00AD3068">
        <w:t>ere the assessor does not meet experience requirements a co-assessment or partnership arrangement must exist between the qualified assessor and an Industry subject matter expert. The Industry subject matter expert should hold the unit being assessed (or an</w:t>
      </w:r>
      <w:r w:rsidRPr="00AD306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AD3068">
        <w:t>cluding time spent in roles related to the unit being assessed; and,</w:t>
      </w:r>
    </w:p>
    <w:p w:rsidR="00000000" w:rsidRPr="00AD3068" w:rsidP="00AD3068">
      <w:pPr>
        <w:pStyle w:val="ListBullet"/>
      </w:pPr>
      <w:r w:rsidRPr="00AD3068">
        <w:t>assessor and Industry subject matter expert requirements differ depending on the Australian Qualifications Framework Level (AQF) of the qualification being assessed and/or Industry Sector</w:t>
      </w:r>
      <w:r w:rsidRPr="00AD306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AD30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SubHeading1"/>
              <w:rPr>
                <w:lang w:val="en-NZ"/>
              </w:rPr>
            </w:pPr>
            <w:r w:rsidRPr="00AD306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SubHeading1"/>
              <w:rPr>
                <w:lang w:val="en-NZ"/>
              </w:rPr>
            </w:pPr>
            <w:r w:rsidRPr="00AD306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SubHeading1"/>
              <w:rPr>
                <w:lang w:val="en-NZ"/>
              </w:rPr>
            </w:pPr>
            <w:r w:rsidRPr="00AD3068">
              <w:t>Required assessor or Industry subject matter expert experience</w:t>
            </w:r>
          </w:p>
        </w:tc>
      </w:tr>
      <w:tr w:rsidTr="00AD306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1 Year</w:t>
            </w:r>
          </w:p>
        </w:tc>
      </w:tr>
      <w:tr w:rsidTr="00AD306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2 Years</w:t>
            </w:r>
          </w:p>
        </w:tc>
      </w:tr>
      <w:tr w:rsidTr="00AD30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3 Years</w:t>
            </w:r>
          </w:p>
        </w:tc>
      </w:tr>
      <w:tr w:rsidTr="00AD30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5 Years</w:t>
            </w:r>
          </w:p>
        </w:tc>
      </w:tr>
      <w:tr w:rsidTr="00AD306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D3068">
            <w:pPr>
              <w:pStyle w:val="BodyText"/>
              <w:rPr>
                <w:lang w:val="en-NZ"/>
              </w:rPr>
            </w:pPr>
            <w:r w:rsidRPr="00AD306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D3068" w:rsidP="00AD3068">
            <w:pPr>
              <w:pStyle w:val="BodyText"/>
            </w:pPr>
            <w:r w:rsidRPr="00AD3068">
              <w:t>Where this Unit is being assessed outside of the Resources and Infrastructure Sectors assessor and/or Industry subject matter expert experience should be in-line with industry standards for the sector in which it is being assessed and where no Industry sta</w:t>
            </w:r>
            <w:r w:rsidRPr="00AD3068">
              <w:t>ndard is specified should comply with any relevant regulation.</w:t>
            </w:r>
          </w:p>
        </w:tc>
      </w:tr>
    </w:tbl>
    <w:p w:rsidR="00000000" w:rsidRPr="00AD3068" w:rsidP="00C06341">
      <w:pPr>
        <w:pStyle w:val="BodyText"/>
      </w:pPr>
      <w:r w:rsidRPr="00AD3068">
        <w:t>*Assessors can demonstrate current work experience through employment within Industry in a role relevant to the outcomes of the Unit; or, for external assessors this can be demonstrated throu</w:t>
      </w:r>
      <w:r w:rsidRPr="00AD3068">
        <w:t>gh exposure to Industry by conducting frequent site assessments across various locations.</w:t>
      </w:r>
    </w:p>
    <w:p w:rsidR="00C06341" w:rsidP="00C06341">
      <w:pPr>
        <w:pStyle w:val="BodyText"/>
      </w:pPr>
      <w:r w:rsidRPr="00AD3068">
        <w:t>**Where a unit is being delivered outside of a Qualification the first numeric character in the Unit code should be considered to indicate the AQF level</w:t>
      </w:r>
    </w:p>
    <w:p w:rsidR="00000000" w:rsidRPr="00AD3068" w:rsidP="00AD3068">
      <w:pPr>
        <w:pStyle w:val="Heading1"/>
      </w:pPr>
      <w:bookmarkStart w:id="5" w:name="O_686283"/>
      <w:bookmarkEnd w:id="5"/>
      <w:r w:rsidRPr="00AD3068">
        <w:t>Links</w:t>
      </w:r>
    </w:p>
    <w:p w:rsidR="00000000" w:rsidRPr="00AD3068" w:rsidP="00C06341">
      <w:pPr>
        <w:pStyle w:val="BodyText"/>
      </w:pPr>
      <w:r w:rsidRPr="00AD306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2359B">
        <w:rPr>
          <w:rStyle w:val="Hyperlink"/>
        </w:rPr>
        <w:t>https://vetnet.gov.au/Pages/TrainingDocs.aspx?q=88a61002-9a21-4386-aaf8-69c76e675272</w:t>
      </w:r>
      <w:r>
        <w:fldChar w:fldCharType="end"/>
      </w:r>
    </w:p>
    <w:p w:rsidR="00000000" w:rsidRPr="00AD3068" w:rsidP="00AD3068"/>
    <w:sectPr w:rsidSect="00AD30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68" w:rsidRPr="00C06341" w:rsidP="00C06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41" w:rsidP="00AD30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6341" w:rsidP="00AD30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06341" w:rsidP="00AD30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068" w:rsidRPr="00C06341" w:rsidP="00C06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341" w:rsidRPr="002D2AF8" w:rsidP="00AD3068">
    <w:pPr>
      <w:pStyle w:val="Header"/>
      <w:framePr w:wrap="around"/>
    </w:pPr>
    <w:r>
      <w:fldChar w:fldCharType="begin"/>
    </w:r>
    <w:r>
      <w:instrText xml:space="preserve"> TITLE   \* MERGEFORMAT </w:instrText>
    </w:r>
    <w:r>
      <w:fldChar w:fldCharType="separate"/>
    </w:r>
    <w:r>
      <w:t>Assessment Requirements for RIIRAI509D Implement mine fixed plant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06341" w:rsidP="00AD3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EA1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603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40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068"/>
    <w:pPr>
      <w:spacing w:before="360" w:after="60"/>
      <w:outlineLvl w:val="0"/>
    </w:pPr>
    <w:rPr>
      <w:sz w:val="32"/>
    </w:rPr>
  </w:style>
  <w:style w:type="paragraph" w:styleId="Heading2">
    <w:name w:val="heading 2"/>
    <w:basedOn w:val="HeadingBase"/>
    <w:next w:val="BodyText"/>
    <w:link w:val="Heading2Char"/>
    <w:qFormat/>
    <w:rsid w:val="00AD3068"/>
    <w:pPr>
      <w:keepLines/>
      <w:spacing w:before="240" w:after="120"/>
      <w:outlineLvl w:val="1"/>
    </w:pPr>
    <w:rPr>
      <w:sz w:val="28"/>
      <w:szCs w:val="40"/>
    </w:rPr>
  </w:style>
  <w:style w:type="paragraph" w:styleId="Heading3">
    <w:name w:val="heading 3"/>
    <w:basedOn w:val="HeadingBase"/>
    <w:next w:val="BodyText"/>
    <w:link w:val="Heading3Char"/>
    <w:qFormat/>
    <w:rsid w:val="00AD3068"/>
    <w:pPr>
      <w:spacing w:before="180" w:after="120"/>
      <w:outlineLvl w:val="2"/>
    </w:pPr>
    <w:rPr>
      <w:spacing w:val="-10"/>
      <w:kern w:val="32"/>
    </w:rPr>
  </w:style>
  <w:style w:type="paragraph" w:styleId="Heading4">
    <w:name w:val="heading 4"/>
    <w:basedOn w:val="HeadingBase"/>
    <w:next w:val="BodyText"/>
    <w:link w:val="Heading4Char"/>
    <w:qFormat/>
    <w:rsid w:val="00AD3068"/>
    <w:pPr>
      <w:spacing w:before="160" w:after="120"/>
      <w:outlineLvl w:val="3"/>
    </w:pPr>
    <w:rPr>
      <w:sz w:val="22"/>
    </w:rPr>
  </w:style>
  <w:style w:type="paragraph" w:styleId="Heading5">
    <w:name w:val="heading 5"/>
    <w:basedOn w:val="HeadingBase"/>
    <w:next w:val="Normal"/>
    <w:link w:val="Heading5Char"/>
    <w:qFormat/>
    <w:rsid w:val="00AD3068"/>
    <w:pPr>
      <w:spacing w:before="80"/>
      <w:outlineLvl w:val="4"/>
    </w:pPr>
    <w:rPr>
      <w:color w:val="918585"/>
      <w:sz w:val="20"/>
    </w:rPr>
  </w:style>
  <w:style w:type="paragraph" w:styleId="Heading6">
    <w:name w:val="heading 6"/>
    <w:basedOn w:val="HeadingBase"/>
    <w:next w:val="Normal"/>
    <w:link w:val="Heading6Char"/>
    <w:qFormat/>
    <w:rsid w:val="00AD3068"/>
    <w:pPr>
      <w:spacing w:before="60"/>
      <w:outlineLvl w:val="5"/>
    </w:pPr>
    <w:rPr>
      <w:color w:val="918585"/>
      <w:sz w:val="20"/>
    </w:rPr>
  </w:style>
  <w:style w:type="paragraph" w:styleId="Heading7">
    <w:name w:val="heading 7"/>
    <w:basedOn w:val="Normal"/>
    <w:next w:val="Normal"/>
    <w:link w:val="Heading7Char"/>
    <w:qFormat/>
    <w:rsid w:val="00AD3068"/>
    <w:pPr>
      <w:ind w:left="720"/>
      <w:outlineLvl w:val="6"/>
    </w:pPr>
    <w:rPr>
      <w:i/>
    </w:rPr>
  </w:style>
  <w:style w:type="paragraph" w:styleId="Heading8">
    <w:name w:val="heading 8"/>
    <w:basedOn w:val="Normal"/>
    <w:next w:val="Normal"/>
    <w:link w:val="Heading8Char"/>
    <w:qFormat/>
    <w:rsid w:val="00AD3068"/>
    <w:pPr>
      <w:ind w:left="720"/>
      <w:outlineLvl w:val="7"/>
    </w:pPr>
    <w:rPr>
      <w:i/>
    </w:rPr>
  </w:style>
  <w:style w:type="paragraph" w:styleId="Heading9">
    <w:name w:val="heading 9"/>
    <w:basedOn w:val="Normal"/>
    <w:next w:val="Normal"/>
    <w:link w:val="Heading9Char"/>
    <w:qFormat/>
    <w:rsid w:val="00AD3068"/>
    <w:pPr>
      <w:ind w:left="720"/>
      <w:outlineLvl w:val="8"/>
    </w:pPr>
    <w:rPr>
      <w:i/>
    </w:rPr>
  </w:style>
  <w:style w:type="character" w:default="1" w:styleId="DefaultParagraphFont">
    <w:name w:val="Default Paragraph Font"/>
    <w:uiPriority w:val="1"/>
    <w:unhideWhenUsed/>
    <w:rsid w:val="00AD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068"/>
  </w:style>
  <w:style w:type="character" w:customStyle="1" w:styleId="Heading1Char">
    <w:name w:val="Heading 1 Char"/>
    <w:basedOn w:val="DefaultParagraphFont"/>
    <w:link w:val="Heading1"/>
    <w:rsid w:val="00AD30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3068"/>
    <w:rPr>
      <w:rFonts w:ascii="Times New Roman" w:eastAsia="Times New Roman" w:hAnsi="Times New Roman" w:cs="Times New Roman"/>
      <w:b/>
      <w:szCs w:val="20"/>
      <w:lang w:eastAsia="en-US"/>
    </w:rPr>
  </w:style>
  <w:style w:type="paragraph" w:styleId="BodyText">
    <w:name w:val="Body Text"/>
    <w:basedOn w:val="Normal"/>
    <w:link w:val="BodyTextChar"/>
    <w:rsid w:val="00AD30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068"/>
    <w:rPr>
      <w:rFonts w:ascii="Times New Roman" w:eastAsia="Times New Roman" w:hAnsi="Times New Roman" w:cs="Times New Roman"/>
      <w:sz w:val="24"/>
      <w:lang w:eastAsia="en-US"/>
    </w:rPr>
  </w:style>
  <w:style w:type="paragraph" w:styleId="ListBullet">
    <w:name w:val="List Bullet"/>
    <w:basedOn w:val="List"/>
    <w:rsid w:val="00AD3068"/>
    <w:pPr>
      <w:numPr>
        <w:numId w:val="13"/>
      </w:numPr>
      <w:tabs>
        <w:tab w:val="clear" w:pos="340"/>
      </w:tabs>
      <w:spacing w:before="40" w:after="40"/>
    </w:pPr>
  </w:style>
  <w:style w:type="paragraph" w:styleId="ListBullet2">
    <w:name w:val="List Bullet 2"/>
    <w:basedOn w:val="List2"/>
    <w:rsid w:val="00AD3068"/>
    <w:pPr>
      <w:numPr>
        <w:numId w:val="14"/>
      </w:numPr>
      <w:tabs>
        <w:tab w:val="clear" w:pos="680"/>
      </w:tabs>
    </w:pPr>
  </w:style>
  <w:style w:type="paragraph" w:customStyle="1" w:styleId="SuperHeading">
    <w:name w:val="SuperHeading"/>
    <w:basedOn w:val="Normal"/>
    <w:rsid w:val="00AD3068"/>
    <w:pPr>
      <w:spacing w:before="240" w:after="120"/>
      <w:outlineLvl w:val="0"/>
    </w:pPr>
    <w:rPr>
      <w:rFonts w:ascii="Times New Roman" w:hAnsi="Times New Roman"/>
      <w:b/>
      <w:sz w:val="32"/>
    </w:rPr>
  </w:style>
  <w:style w:type="paragraph" w:customStyle="1" w:styleId="AllowPageBreak">
    <w:name w:val="AllowPageBreak"/>
    <w:rsid w:val="00AD30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D3068"/>
    <w:pPr>
      <w:spacing w:before="240" w:after="60"/>
    </w:pPr>
    <w:rPr>
      <w:color w:val="918585"/>
      <w:sz w:val="22"/>
    </w:rPr>
  </w:style>
  <w:style w:type="paragraph" w:styleId="ListBullet3">
    <w:name w:val="List Bullet 3"/>
    <w:basedOn w:val="List3"/>
    <w:rsid w:val="00AD3068"/>
    <w:pPr>
      <w:numPr>
        <w:numId w:val="3"/>
      </w:numPr>
      <w:tabs>
        <w:tab w:val="clear" w:pos="1021"/>
      </w:tabs>
      <w:ind w:left="1037" w:hanging="357"/>
    </w:pPr>
  </w:style>
  <w:style w:type="character" w:customStyle="1" w:styleId="Heading2Char">
    <w:name w:val="Heading 2 Char"/>
    <w:basedOn w:val="DefaultParagraphFont"/>
    <w:link w:val="Heading2"/>
    <w:rsid w:val="00AD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0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068"/>
    <w:rPr>
      <w:rFonts w:ascii="Courier New" w:eastAsia="Times New Roman" w:hAnsi="Courier New" w:cs="Times New Roman"/>
      <w:i/>
      <w:szCs w:val="20"/>
      <w:lang w:eastAsia="en-US"/>
    </w:rPr>
  </w:style>
  <w:style w:type="paragraph" w:customStyle="1" w:styleId="HeadingBase">
    <w:name w:val="Heading Base"/>
    <w:rsid w:val="00AD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068"/>
    <w:pPr>
      <w:tabs>
        <w:tab w:val="right" w:leader="dot" w:pos="9072"/>
      </w:tabs>
      <w:ind w:left="567"/>
    </w:pPr>
    <w:rPr>
      <w:szCs w:val="22"/>
    </w:rPr>
  </w:style>
  <w:style w:type="paragraph" w:customStyle="1" w:styleId="TOCBase">
    <w:name w:val="TOC Base"/>
    <w:rsid w:val="00AD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068"/>
    <w:pPr>
      <w:tabs>
        <w:tab w:val="right" w:leader="dot" w:pos="9072"/>
      </w:tabs>
      <w:spacing w:before="40" w:after="40"/>
      <w:ind w:left="284"/>
    </w:pPr>
    <w:rPr>
      <w:rFonts w:ascii="Times New Roman" w:hAnsi="Times New Roman"/>
    </w:rPr>
  </w:style>
  <w:style w:type="paragraph" w:styleId="TOC1">
    <w:name w:val="toc 1"/>
    <w:basedOn w:val="TOCBase"/>
    <w:next w:val="Normal"/>
    <w:rsid w:val="00AD30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068"/>
    <w:rPr>
      <w:rFonts w:ascii="Times New Roman" w:eastAsia="Times New Roman" w:hAnsi="Times New Roman" w:cs="Times New Roman"/>
      <w:sz w:val="16"/>
      <w:lang w:eastAsia="en-US"/>
    </w:rPr>
  </w:style>
  <w:style w:type="paragraph" w:styleId="Title">
    <w:name w:val="Title"/>
    <w:basedOn w:val="HeadingBase"/>
    <w:link w:val="TitleChar"/>
    <w:qFormat/>
    <w:rsid w:val="00AD3068"/>
    <w:pPr>
      <w:spacing w:before="5040"/>
      <w:jc w:val="center"/>
    </w:pPr>
    <w:rPr>
      <w:sz w:val="48"/>
      <w:szCs w:val="72"/>
      <w:lang w:val="en-US"/>
    </w:rPr>
  </w:style>
  <w:style w:type="character" w:customStyle="1" w:styleId="TitleChar">
    <w:name w:val="Title Char"/>
    <w:basedOn w:val="DefaultParagraphFont"/>
    <w:link w:val="Title"/>
    <w:rsid w:val="00AD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068"/>
    <w:pPr>
      <w:tabs>
        <w:tab w:val="left" w:pos="3600"/>
        <w:tab w:val="left" w:pos="3958"/>
      </w:tabs>
    </w:pPr>
  </w:style>
  <w:style w:type="paragraph" w:styleId="List">
    <w:name w:val="List"/>
    <w:basedOn w:val="BodyText"/>
    <w:next w:val="BodyText"/>
    <w:rsid w:val="00AD3068"/>
    <w:pPr>
      <w:tabs>
        <w:tab w:val="left" w:pos="340"/>
      </w:tabs>
      <w:spacing w:before="60" w:after="60"/>
      <w:ind w:left="340" w:hanging="340"/>
    </w:pPr>
  </w:style>
  <w:style w:type="paragraph" w:customStyle="1" w:styleId="Note">
    <w:name w:val="Note"/>
    <w:basedOn w:val="BodyText"/>
    <w:rsid w:val="00AD30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3068"/>
    <w:rPr>
      <w:b/>
      <w:spacing w:val="0"/>
    </w:rPr>
  </w:style>
  <w:style w:type="paragraph" w:customStyle="1" w:styleId="SuperTitle">
    <w:name w:val="SuperTitle"/>
    <w:basedOn w:val="Title"/>
    <w:rsid w:val="00AD3068"/>
    <w:pPr>
      <w:framePr w:wrap="auto" w:hAnchor="text" w:y="6049"/>
    </w:pPr>
    <w:rPr>
      <w:color w:val="000000"/>
      <w:sz w:val="40"/>
    </w:rPr>
  </w:style>
  <w:style w:type="paragraph" w:customStyle="1" w:styleId="TOCTitle">
    <w:name w:val="TOCTitle"/>
    <w:basedOn w:val="Heading1"/>
    <w:rsid w:val="00AD3068"/>
    <w:pPr>
      <w:spacing w:after="240"/>
      <w:jc w:val="center"/>
      <w:outlineLvl w:val="9"/>
    </w:pPr>
    <w:rPr>
      <w:caps/>
    </w:rPr>
  </w:style>
  <w:style w:type="paragraph" w:customStyle="1" w:styleId="Version">
    <w:name w:val="Version"/>
    <w:rsid w:val="00AD3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068"/>
    <w:pPr>
      <w:keepNext w:val="0"/>
      <w:tabs>
        <w:tab w:val="right" w:pos="4176"/>
      </w:tabs>
      <w:ind w:left="198" w:hanging="198"/>
    </w:pPr>
    <w:rPr>
      <w:rFonts w:ascii="Garamond" w:hAnsi="Garamond"/>
    </w:rPr>
  </w:style>
  <w:style w:type="paragraph" w:styleId="IndexHeading">
    <w:name w:val="index heading"/>
    <w:basedOn w:val="Normal"/>
    <w:next w:val="Index1"/>
    <w:semiHidden/>
    <w:rsid w:val="00AD3068"/>
    <w:pPr>
      <w:spacing w:before="120" w:after="120"/>
    </w:pPr>
    <w:rPr>
      <w:rFonts w:ascii="Arial" w:hAnsi="Arial"/>
      <w:b/>
      <w:color w:val="918585"/>
      <w:sz w:val="24"/>
    </w:rPr>
  </w:style>
  <w:style w:type="paragraph" w:styleId="Header">
    <w:name w:val="header"/>
    <w:basedOn w:val="Normal"/>
    <w:link w:val="HeaderChar"/>
    <w:rsid w:val="00AD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068"/>
    <w:rPr>
      <w:rFonts w:ascii="Times New Roman" w:eastAsia="Times New Roman" w:hAnsi="Times New Roman" w:cs="Times New Roman"/>
      <w:sz w:val="16"/>
      <w:szCs w:val="20"/>
      <w:lang w:val="en-GB" w:eastAsia="en-US"/>
    </w:rPr>
  </w:style>
  <w:style w:type="paragraph" w:customStyle="1" w:styleId="Chapter">
    <w:name w:val="Chapter"/>
    <w:basedOn w:val="Normal"/>
    <w:rsid w:val="00AD3068"/>
    <w:pPr>
      <w:spacing w:before="240"/>
    </w:pPr>
    <w:rPr>
      <w:rFonts w:ascii="Times New Roman" w:hAnsi="Times New Roman"/>
      <w:smallCaps/>
      <w:spacing w:val="80"/>
      <w:sz w:val="28"/>
    </w:rPr>
  </w:style>
  <w:style w:type="paragraph" w:customStyle="1" w:styleId="InChapter">
    <w:name w:val="InChapter"/>
    <w:basedOn w:val="Heading3"/>
    <w:rsid w:val="00AD3068"/>
    <w:pPr>
      <w:spacing w:after="240"/>
      <w:outlineLvl w:val="9"/>
    </w:pPr>
    <w:rPr>
      <w:noProof/>
    </w:rPr>
  </w:style>
  <w:style w:type="paragraph" w:styleId="Index2">
    <w:name w:val="index 2"/>
    <w:basedOn w:val="Normal"/>
    <w:next w:val="Normal"/>
    <w:semiHidden/>
    <w:rsid w:val="00AD3068"/>
    <w:pPr>
      <w:tabs>
        <w:tab w:val="right" w:pos="4176"/>
      </w:tabs>
      <w:ind w:left="568" w:hanging="284"/>
    </w:pPr>
    <w:rPr>
      <w:rFonts w:ascii="Garamond" w:hAnsi="Garamond"/>
    </w:rPr>
  </w:style>
  <w:style w:type="paragraph" w:customStyle="1" w:styleId="Byline">
    <w:name w:val="Byline"/>
    <w:rsid w:val="00AD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068"/>
    <w:pPr>
      <w:tabs>
        <w:tab w:val="clear" w:pos="3600"/>
        <w:tab w:val="clear" w:pos="3958"/>
      </w:tabs>
      <w:jc w:val="right"/>
    </w:pPr>
  </w:style>
  <w:style w:type="character" w:styleId="Emphasis">
    <w:name w:val="Emphasis"/>
    <w:basedOn w:val="DefaultParagraphFont"/>
    <w:qFormat/>
    <w:rsid w:val="00AD3068"/>
    <w:rPr>
      <w:i/>
    </w:rPr>
  </w:style>
  <w:style w:type="paragraph" w:styleId="Caption">
    <w:name w:val="caption"/>
    <w:basedOn w:val="BodyText"/>
    <w:next w:val="Normal"/>
    <w:qFormat/>
    <w:rsid w:val="00AD3068"/>
    <w:pPr>
      <w:framePr w:w="2268" w:hSpace="181" w:vSpace="181" w:wrap="around" w:vAnchor="text" w:hAnchor="page" w:x="1135" w:y="285" w:anchorLock="1"/>
    </w:pPr>
    <w:rPr>
      <w:i/>
    </w:rPr>
  </w:style>
  <w:style w:type="paragraph" w:customStyle="1" w:styleId="MiniTOCTitle">
    <w:name w:val="MiniTOCTitle"/>
    <w:basedOn w:val="Heading4"/>
    <w:rsid w:val="00AD3068"/>
    <w:pPr>
      <w:spacing w:before="240"/>
      <w:outlineLvl w:val="9"/>
    </w:pPr>
    <w:rPr>
      <w:noProof/>
      <w:sz w:val="24"/>
    </w:rPr>
  </w:style>
  <w:style w:type="paragraph" w:customStyle="1" w:styleId="MiniTOCItem">
    <w:name w:val="MiniTOCItem"/>
    <w:basedOn w:val="ListBullet"/>
    <w:rsid w:val="00AD3068"/>
    <w:pPr>
      <w:numPr>
        <w:numId w:val="0"/>
      </w:numPr>
      <w:tabs>
        <w:tab w:val="right" w:leader="dot" w:pos="6521"/>
      </w:tabs>
      <w:spacing w:before="0" w:after="0"/>
    </w:pPr>
  </w:style>
  <w:style w:type="paragraph" w:customStyle="1" w:styleId="TOFTitle">
    <w:name w:val="TOFTitle"/>
    <w:basedOn w:val="TOCTitle"/>
    <w:rsid w:val="00AD3068"/>
  </w:style>
  <w:style w:type="paragraph" w:styleId="TableofFigures">
    <w:name w:val="table of figures"/>
    <w:basedOn w:val="Normal"/>
    <w:next w:val="Normal"/>
    <w:semiHidden/>
    <w:rsid w:val="00AD3068"/>
    <w:pPr>
      <w:tabs>
        <w:tab w:val="right" w:leader="dot" w:pos="9072"/>
      </w:tabs>
      <w:ind w:left="970" w:hanging="403"/>
    </w:pPr>
    <w:rPr>
      <w:rFonts w:ascii="Times New Roman" w:hAnsi="Times New Roman"/>
      <w:b/>
    </w:rPr>
  </w:style>
  <w:style w:type="paragraph" w:styleId="ListNumber">
    <w:name w:val="List Number"/>
    <w:basedOn w:val="List"/>
    <w:rsid w:val="00AD3068"/>
    <w:pPr>
      <w:numPr>
        <w:numId w:val="16"/>
      </w:numPr>
      <w:tabs>
        <w:tab w:val="clear" w:pos="340"/>
      </w:tabs>
    </w:pPr>
  </w:style>
  <w:style w:type="character" w:customStyle="1" w:styleId="WingdingSymbols">
    <w:name w:val="Wingding Symbols"/>
    <w:rsid w:val="00AD3068"/>
    <w:rPr>
      <w:rFonts w:ascii="Wingdings" w:hAnsi="Wingdings"/>
    </w:rPr>
  </w:style>
  <w:style w:type="paragraph" w:customStyle="1" w:styleId="TableHeading">
    <w:name w:val="Table Heading"/>
    <w:basedOn w:val="HeadingBase"/>
    <w:rsid w:val="00AD3068"/>
    <w:pPr>
      <w:keepLines/>
      <w:pBdr>
        <w:bottom w:val="single" w:sz="6" w:space="1" w:color="918585"/>
      </w:pBdr>
      <w:spacing w:before="240"/>
    </w:pPr>
  </w:style>
  <w:style w:type="character" w:customStyle="1" w:styleId="HotSpot">
    <w:name w:val="HotSpot"/>
    <w:rsid w:val="00AD3068"/>
    <w:rPr>
      <w:color w:val="0033CC"/>
      <w:u w:val="none"/>
    </w:rPr>
  </w:style>
  <w:style w:type="paragraph" w:customStyle="1" w:styleId="BodyTextRight">
    <w:name w:val="Body Text Right"/>
    <w:basedOn w:val="BodyText"/>
    <w:rsid w:val="00AD3068"/>
    <w:pPr>
      <w:spacing w:before="0" w:after="0"/>
      <w:jc w:val="right"/>
    </w:pPr>
  </w:style>
  <w:style w:type="paragraph" w:styleId="Index3">
    <w:name w:val="index 3"/>
    <w:basedOn w:val="ListNumber2"/>
    <w:next w:val="Normal"/>
    <w:semiHidden/>
    <w:rsid w:val="00AD3068"/>
    <w:pPr>
      <w:numPr>
        <w:numId w:val="0"/>
      </w:numPr>
      <w:tabs>
        <w:tab w:val="right" w:leader="dot" w:pos="4176"/>
      </w:tabs>
    </w:pPr>
  </w:style>
  <w:style w:type="paragraph" w:styleId="ListNumber2">
    <w:name w:val="List Number 2"/>
    <w:basedOn w:val="List2"/>
    <w:rsid w:val="00AD3068"/>
    <w:pPr>
      <w:numPr>
        <w:numId w:val="11"/>
      </w:numPr>
      <w:tabs>
        <w:tab w:val="clear" w:pos="1060"/>
      </w:tabs>
    </w:pPr>
  </w:style>
  <w:style w:type="paragraph" w:customStyle="1" w:styleId="MarginNote">
    <w:name w:val="Margin Note"/>
    <w:basedOn w:val="BodyText"/>
    <w:rsid w:val="00AD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068"/>
    <w:rPr>
      <w:sz w:val="32"/>
    </w:rPr>
  </w:style>
  <w:style w:type="paragraph" w:customStyle="1" w:styleId="HeadingProcedure">
    <w:name w:val="Heading Procedure"/>
    <w:basedOn w:val="HeadingBase"/>
    <w:next w:val="Normal"/>
    <w:rsid w:val="00AD3068"/>
    <w:pPr>
      <w:tabs>
        <w:tab w:val="left" w:pos="0"/>
      </w:tabs>
      <w:spacing w:before="120" w:after="60"/>
    </w:pPr>
    <w:rPr>
      <w:i/>
      <w:color w:val="918585"/>
      <w:sz w:val="22"/>
    </w:rPr>
  </w:style>
  <w:style w:type="paragraph" w:customStyle="1" w:styleId="TableBodyText">
    <w:name w:val="Table Body Text"/>
    <w:basedOn w:val="BodyText"/>
    <w:rsid w:val="00AD3068"/>
    <w:pPr>
      <w:spacing w:before="60" w:after="60"/>
    </w:pPr>
  </w:style>
  <w:style w:type="paragraph" w:styleId="ListContinue">
    <w:name w:val="List Continue"/>
    <w:basedOn w:val="List"/>
    <w:rsid w:val="00AD3068"/>
    <w:pPr>
      <w:ind w:firstLine="0"/>
    </w:pPr>
  </w:style>
  <w:style w:type="paragraph" w:customStyle="1" w:styleId="ListNote">
    <w:name w:val="List Note"/>
    <w:basedOn w:val="List"/>
    <w:rsid w:val="00AD3068"/>
    <w:pPr>
      <w:pBdr>
        <w:top w:val="single" w:sz="6" w:space="2" w:color="918585"/>
        <w:bottom w:val="single" w:sz="6" w:space="2" w:color="918585"/>
      </w:pBdr>
      <w:tabs>
        <w:tab w:val="left" w:pos="1021"/>
      </w:tabs>
      <w:ind w:firstLine="0"/>
    </w:pPr>
  </w:style>
  <w:style w:type="paragraph" w:customStyle="1" w:styleId="Warning">
    <w:name w:val="Warning"/>
    <w:basedOn w:val="BodyText"/>
    <w:rsid w:val="00AD3068"/>
    <w:pPr>
      <w:shd w:val="clear" w:color="auto" w:fill="D9D9D9"/>
      <w:tabs>
        <w:tab w:val="left" w:pos="992"/>
      </w:tabs>
      <w:ind w:left="119" w:right="119"/>
    </w:pPr>
    <w:rPr>
      <w:sz w:val="20"/>
    </w:rPr>
  </w:style>
  <w:style w:type="paragraph" w:customStyle="1" w:styleId="MarginIcons">
    <w:name w:val="Margin Icons"/>
    <w:basedOn w:val="BodyText"/>
    <w:rsid w:val="00AD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068"/>
    <w:rPr>
      <w:rFonts w:ascii="Courier New" w:hAnsi="Courier New"/>
    </w:rPr>
  </w:style>
  <w:style w:type="paragraph" w:customStyle="1" w:styleId="NoteBullet">
    <w:name w:val="Note Bullet"/>
    <w:basedOn w:val="Note"/>
    <w:rsid w:val="00AD3068"/>
    <w:pPr>
      <w:tabs>
        <w:tab w:val="clear" w:pos="680"/>
      </w:tabs>
      <w:spacing w:before="60" w:after="60"/>
    </w:pPr>
  </w:style>
  <w:style w:type="paragraph" w:customStyle="1" w:styleId="SubHeading2">
    <w:name w:val="SubHeading2"/>
    <w:basedOn w:val="HeadingBase"/>
    <w:rsid w:val="00AD3068"/>
    <w:pPr>
      <w:spacing w:before="240" w:after="60"/>
    </w:pPr>
    <w:rPr>
      <w:sz w:val="20"/>
    </w:rPr>
  </w:style>
  <w:style w:type="paragraph" w:customStyle="1" w:styleId="SideHeading">
    <w:name w:val="Side Heading"/>
    <w:basedOn w:val="HeadingBase"/>
    <w:rsid w:val="00AD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068"/>
    <w:pPr>
      <w:numPr>
        <w:numId w:val="12"/>
      </w:numPr>
    </w:pPr>
  </w:style>
  <w:style w:type="paragraph" w:styleId="PlainText">
    <w:name w:val="Plain Text"/>
    <w:basedOn w:val="Normal"/>
    <w:link w:val="PlainTextChar"/>
    <w:rsid w:val="00AD3068"/>
    <w:rPr>
      <w:sz w:val="20"/>
    </w:rPr>
  </w:style>
  <w:style w:type="character" w:customStyle="1" w:styleId="PlainTextChar">
    <w:name w:val="Plain Text Char"/>
    <w:basedOn w:val="DefaultParagraphFont"/>
    <w:link w:val="PlainText"/>
    <w:rsid w:val="00AD3068"/>
    <w:rPr>
      <w:rFonts w:ascii="Courier New" w:eastAsia="Times New Roman" w:hAnsi="Courier New" w:cs="Times New Roman"/>
      <w:sz w:val="20"/>
      <w:szCs w:val="20"/>
      <w:lang w:eastAsia="en-US"/>
    </w:rPr>
  </w:style>
  <w:style w:type="character" w:customStyle="1" w:styleId="MenuOption">
    <w:name w:val="Menu Option"/>
    <w:basedOn w:val="DefaultParagraphFont"/>
    <w:rsid w:val="00AD3068"/>
    <w:rPr>
      <w:b/>
      <w:smallCaps/>
    </w:rPr>
  </w:style>
  <w:style w:type="paragraph" w:customStyle="1" w:styleId="TableListNumber">
    <w:name w:val="Table List Number"/>
    <w:basedOn w:val="ListNumber"/>
    <w:rsid w:val="00AD3068"/>
    <w:pPr>
      <w:numPr>
        <w:numId w:val="0"/>
      </w:numPr>
    </w:pPr>
  </w:style>
  <w:style w:type="paragraph" w:styleId="TOC4">
    <w:name w:val="toc 4"/>
    <w:basedOn w:val="TOCBase"/>
    <w:next w:val="Normal"/>
    <w:semiHidden/>
    <w:rsid w:val="00AD3068"/>
    <w:pPr>
      <w:tabs>
        <w:tab w:val="right" w:leader="dot" w:pos="9071"/>
      </w:tabs>
      <w:ind w:left="1701"/>
    </w:pPr>
  </w:style>
  <w:style w:type="paragraph" w:customStyle="1" w:styleId="ListAlpha">
    <w:name w:val="List Alpha"/>
    <w:basedOn w:val="List"/>
    <w:rsid w:val="00AD3068"/>
    <w:pPr>
      <w:numPr>
        <w:numId w:val="10"/>
      </w:numPr>
    </w:pPr>
  </w:style>
  <w:style w:type="paragraph" w:customStyle="1" w:styleId="ListAlpha2">
    <w:name w:val="List Alpha 2"/>
    <w:basedOn w:val="List2"/>
    <w:rsid w:val="00AD3068"/>
    <w:pPr>
      <w:numPr>
        <w:numId w:val="9"/>
      </w:numPr>
    </w:pPr>
  </w:style>
  <w:style w:type="paragraph" w:styleId="List2">
    <w:name w:val="List 2"/>
    <w:basedOn w:val="BodyText"/>
    <w:rsid w:val="00AD3068"/>
    <w:pPr>
      <w:tabs>
        <w:tab w:val="left" w:pos="680"/>
      </w:tabs>
      <w:spacing w:before="60" w:after="60"/>
      <w:ind w:left="680" w:hanging="340"/>
    </w:pPr>
  </w:style>
  <w:style w:type="paragraph" w:styleId="List3">
    <w:name w:val="List 3"/>
    <w:basedOn w:val="BodyText"/>
    <w:rsid w:val="00AD3068"/>
    <w:pPr>
      <w:tabs>
        <w:tab w:val="left" w:pos="1021"/>
      </w:tabs>
      <w:spacing w:before="60" w:after="60"/>
      <w:ind w:left="1020" w:hanging="340"/>
    </w:pPr>
  </w:style>
  <w:style w:type="paragraph" w:styleId="List4">
    <w:name w:val="List 4"/>
    <w:basedOn w:val="BodyText"/>
    <w:rsid w:val="00AD3068"/>
    <w:pPr>
      <w:tabs>
        <w:tab w:val="left" w:pos="1361"/>
      </w:tabs>
      <w:spacing w:before="60" w:after="60"/>
      <w:ind w:left="1361" w:hanging="340"/>
    </w:pPr>
  </w:style>
  <w:style w:type="paragraph" w:styleId="List5">
    <w:name w:val="List 5"/>
    <w:basedOn w:val="BodyText"/>
    <w:rsid w:val="00AD3068"/>
    <w:pPr>
      <w:tabs>
        <w:tab w:val="left" w:pos="1701"/>
      </w:tabs>
      <w:spacing w:before="60" w:after="60"/>
      <w:ind w:left="1701" w:hanging="340"/>
    </w:pPr>
  </w:style>
  <w:style w:type="paragraph" w:styleId="ListBullet4">
    <w:name w:val="List Bullet 4"/>
    <w:basedOn w:val="List4"/>
    <w:rsid w:val="00AD3068"/>
    <w:pPr>
      <w:numPr>
        <w:numId w:val="4"/>
      </w:numPr>
      <w:tabs>
        <w:tab w:val="clear" w:pos="1361"/>
      </w:tabs>
    </w:pPr>
  </w:style>
  <w:style w:type="paragraph" w:styleId="ListBullet5">
    <w:name w:val="List Bullet 5"/>
    <w:basedOn w:val="List5"/>
    <w:rsid w:val="00AD3068"/>
    <w:pPr>
      <w:numPr>
        <w:numId w:val="5"/>
      </w:numPr>
    </w:pPr>
  </w:style>
  <w:style w:type="paragraph" w:styleId="ListContinue2">
    <w:name w:val="List Continue 2"/>
    <w:basedOn w:val="List2"/>
    <w:rsid w:val="00AD3068"/>
    <w:pPr>
      <w:ind w:firstLine="0"/>
    </w:pPr>
  </w:style>
  <w:style w:type="paragraph" w:styleId="ListContinue3">
    <w:name w:val="List Continue 3"/>
    <w:basedOn w:val="List3"/>
    <w:rsid w:val="00AD3068"/>
    <w:pPr>
      <w:ind w:left="1021" w:firstLine="0"/>
    </w:pPr>
  </w:style>
  <w:style w:type="paragraph" w:styleId="ListContinue4">
    <w:name w:val="List Continue 4"/>
    <w:basedOn w:val="List4"/>
    <w:rsid w:val="00AD3068"/>
    <w:pPr>
      <w:ind w:firstLine="0"/>
    </w:pPr>
  </w:style>
  <w:style w:type="paragraph" w:styleId="ListContinue5">
    <w:name w:val="List Continue 5"/>
    <w:basedOn w:val="List5"/>
    <w:rsid w:val="00AD3068"/>
    <w:pPr>
      <w:ind w:firstLine="0"/>
    </w:pPr>
  </w:style>
  <w:style w:type="paragraph" w:styleId="ListNumber3">
    <w:name w:val="List Number 3"/>
    <w:basedOn w:val="List3"/>
    <w:rsid w:val="00AD3068"/>
    <w:pPr>
      <w:numPr>
        <w:numId w:val="6"/>
      </w:numPr>
    </w:pPr>
  </w:style>
  <w:style w:type="paragraph" w:styleId="ListNumber4">
    <w:name w:val="List Number 4"/>
    <w:basedOn w:val="List4"/>
    <w:rsid w:val="00AD3068"/>
    <w:pPr>
      <w:numPr>
        <w:numId w:val="7"/>
      </w:numPr>
    </w:pPr>
  </w:style>
  <w:style w:type="paragraph" w:styleId="ListNumber5">
    <w:name w:val="List Number 5"/>
    <w:basedOn w:val="List5"/>
    <w:rsid w:val="00AD3068"/>
    <w:pPr>
      <w:numPr>
        <w:numId w:val="8"/>
      </w:numPr>
    </w:pPr>
  </w:style>
  <w:style w:type="paragraph" w:styleId="BlockText">
    <w:name w:val="Block Text"/>
    <w:basedOn w:val="Normal"/>
    <w:rsid w:val="00AD3068"/>
    <w:pPr>
      <w:spacing w:after="120"/>
      <w:ind w:left="1440" w:right="1440"/>
    </w:pPr>
  </w:style>
  <w:style w:type="character" w:customStyle="1" w:styleId="Subscript">
    <w:name w:val="Subscript"/>
    <w:basedOn w:val="DefaultParagraphFont"/>
    <w:rsid w:val="00AD3068"/>
    <w:rPr>
      <w:sz w:val="16"/>
      <w:vertAlign w:val="subscript"/>
    </w:rPr>
  </w:style>
  <w:style w:type="character" w:customStyle="1" w:styleId="Superscript">
    <w:name w:val="Superscript"/>
    <w:basedOn w:val="DefaultParagraphFont"/>
    <w:rsid w:val="00AD3068"/>
    <w:rPr>
      <w:sz w:val="16"/>
      <w:vertAlign w:val="superscript"/>
    </w:rPr>
  </w:style>
  <w:style w:type="character" w:customStyle="1" w:styleId="Symbols">
    <w:name w:val="Symbols"/>
    <w:basedOn w:val="DefaultParagraphFont"/>
    <w:rsid w:val="00AD3068"/>
    <w:rPr>
      <w:rFonts w:ascii="Symbol" w:hAnsi="Symbol"/>
    </w:rPr>
  </w:style>
  <w:style w:type="character" w:customStyle="1" w:styleId="MenuOptions">
    <w:name w:val="Menu Options"/>
    <w:basedOn w:val="DefaultParagraphFont"/>
    <w:rsid w:val="00AD3068"/>
    <w:rPr>
      <w:rFonts w:ascii="Arial Narrow" w:hAnsi="Arial Narrow"/>
      <w:smallCaps/>
    </w:rPr>
  </w:style>
  <w:style w:type="character" w:customStyle="1" w:styleId="Buttons">
    <w:name w:val="Buttons"/>
    <w:basedOn w:val="DefaultParagraphFont"/>
    <w:rsid w:val="00AD3068"/>
    <w:rPr>
      <w:b/>
    </w:rPr>
  </w:style>
  <w:style w:type="character" w:customStyle="1" w:styleId="Underlined">
    <w:name w:val="Underlined"/>
    <w:basedOn w:val="DefaultParagraphFont"/>
    <w:rsid w:val="00AD3068"/>
    <w:rPr>
      <w:u w:val="single"/>
    </w:rPr>
  </w:style>
  <w:style w:type="paragraph" w:customStyle="1" w:styleId="TableBodyTextRight">
    <w:name w:val="Table Body Text Right"/>
    <w:basedOn w:val="TableBodyText"/>
    <w:rsid w:val="00AD3068"/>
    <w:pPr>
      <w:widowControl w:val="0"/>
      <w:autoSpaceDE w:val="0"/>
      <w:autoSpaceDN w:val="0"/>
      <w:adjustRightInd w:val="0"/>
      <w:jc w:val="right"/>
    </w:pPr>
    <w:rPr>
      <w:rFonts w:cs="Arial"/>
      <w:szCs w:val="18"/>
    </w:rPr>
  </w:style>
  <w:style w:type="paragraph" w:customStyle="1" w:styleId="CopyrightText">
    <w:name w:val="Copyright Text"/>
    <w:basedOn w:val="BodyText"/>
    <w:rsid w:val="00AD3068"/>
    <w:rPr>
      <w:sz w:val="18"/>
    </w:rPr>
  </w:style>
  <w:style w:type="paragraph" w:customStyle="1" w:styleId="BodySmallRight">
    <w:name w:val="Body Small Right"/>
    <w:basedOn w:val="BodyTextRight"/>
    <w:rsid w:val="00AD3068"/>
    <w:rPr>
      <w:sz w:val="18"/>
      <w:szCs w:val="18"/>
    </w:rPr>
  </w:style>
  <w:style w:type="paragraph" w:customStyle="1" w:styleId="MarginEdition">
    <w:name w:val="Margin Edition"/>
    <w:basedOn w:val="MarginNote"/>
    <w:rsid w:val="00AD3068"/>
    <w:pPr>
      <w:spacing w:before="0" w:after="0"/>
    </w:pPr>
    <w:rPr>
      <w:rFonts w:ascii="Times New Roman" w:hAnsi="Times New Roman"/>
      <w:color w:val="999999"/>
    </w:rPr>
  </w:style>
  <w:style w:type="paragraph" w:customStyle="1" w:styleId="Spacer">
    <w:name w:val="Spacer"/>
    <w:basedOn w:val="Normal"/>
    <w:rsid w:val="00AD3068"/>
    <w:rPr>
      <w:sz w:val="2"/>
      <w:szCs w:val="2"/>
    </w:rPr>
  </w:style>
  <w:style w:type="character" w:customStyle="1" w:styleId="Small">
    <w:name w:val="Small"/>
    <w:basedOn w:val="DefaultParagraphFont"/>
    <w:rsid w:val="00AD3068"/>
    <w:rPr>
      <w:sz w:val="16"/>
    </w:rPr>
  </w:style>
  <w:style w:type="paragraph" w:customStyle="1" w:styleId="WideTable">
    <w:name w:val="Wide Table"/>
    <w:basedOn w:val="Normal"/>
    <w:rsid w:val="00AD3068"/>
    <w:pPr>
      <w:ind w:left="-1418"/>
    </w:pPr>
    <w:rPr>
      <w:sz w:val="2"/>
      <w:szCs w:val="2"/>
    </w:rPr>
  </w:style>
  <w:style w:type="character" w:styleId="PageNumber">
    <w:name w:val="page number"/>
    <w:basedOn w:val="DefaultParagraphFont"/>
    <w:rsid w:val="00AD3068"/>
  </w:style>
  <w:style w:type="paragraph" w:styleId="Quote">
    <w:name w:val="Quote"/>
    <w:basedOn w:val="Heading1"/>
    <w:link w:val="QuoteChar"/>
    <w:qFormat/>
    <w:rsid w:val="00AD3068"/>
    <w:rPr>
      <w:b w:val="0"/>
      <w:sz w:val="72"/>
      <w:szCs w:val="72"/>
      <w:lang w:val="en-NZ"/>
    </w:rPr>
  </w:style>
  <w:style w:type="character" w:customStyle="1" w:styleId="QuoteChar">
    <w:name w:val="Quote Char"/>
    <w:basedOn w:val="DefaultParagraphFont"/>
    <w:link w:val="Quote"/>
    <w:rsid w:val="00AD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068"/>
    <w:pPr>
      <w:pageBreakBefore/>
    </w:pPr>
  </w:style>
  <w:style w:type="paragraph" w:customStyle="1" w:styleId="Border">
    <w:name w:val="Border"/>
    <w:basedOn w:val="Normal"/>
    <w:qFormat/>
    <w:rsid w:val="00AD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068"/>
    <w:rPr>
      <w:b/>
      <w:bCs/>
      <w:i/>
      <w:iCs/>
      <w:color w:val="auto"/>
    </w:rPr>
  </w:style>
  <w:style w:type="paragraph" w:styleId="IntenseQuote">
    <w:name w:val="Intense Quote"/>
    <w:basedOn w:val="Normal"/>
    <w:next w:val="Normal"/>
    <w:link w:val="IntenseQuoteChar"/>
    <w:uiPriority w:val="30"/>
    <w:qFormat/>
    <w:rsid w:val="00AD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068"/>
    <w:rPr>
      <w:smallCaps/>
      <w:color w:val="auto"/>
      <w:u w:val="single"/>
    </w:rPr>
  </w:style>
  <w:style w:type="character" w:styleId="IntenseReference">
    <w:name w:val="Intense Reference"/>
    <w:basedOn w:val="DefaultParagraphFont"/>
    <w:uiPriority w:val="32"/>
    <w:qFormat/>
    <w:rsid w:val="00AD3068"/>
    <w:rPr>
      <w:b/>
      <w:bCs/>
      <w:smallCaps/>
      <w:color w:val="auto"/>
      <w:spacing w:val="5"/>
      <w:u w:val="single"/>
    </w:rPr>
  </w:style>
  <w:style w:type="paragraph" w:customStyle="1" w:styleId="2ColumnHeading">
    <w:name w:val="2Column Heading"/>
    <w:basedOn w:val="BodyText"/>
    <w:qFormat/>
    <w:rsid w:val="00AD3068"/>
    <w:pPr>
      <w:spacing w:after="60"/>
      <w:ind w:left="-2268"/>
    </w:pPr>
    <w:rPr>
      <w:b/>
    </w:rPr>
  </w:style>
  <w:style w:type="paragraph" w:customStyle="1" w:styleId="Heading1TOC">
    <w:name w:val="Heading1 TOC"/>
    <w:basedOn w:val="Normal"/>
    <w:qFormat/>
    <w:rsid w:val="00AD3068"/>
    <w:pPr>
      <w:spacing w:before="240" w:after="120"/>
    </w:pPr>
    <w:rPr>
      <w:rFonts w:ascii="Times New Roman" w:hAnsi="Times New Roman"/>
      <w:b/>
      <w:sz w:val="32"/>
    </w:rPr>
  </w:style>
  <w:style w:type="paragraph" w:customStyle="1" w:styleId="Heading2TOC">
    <w:name w:val="Heading2 TOC"/>
    <w:basedOn w:val="Normal"/>
    <w:qFormat/>
    <w:rsid w:val="00AD3068"/>
    <w:pPr>
      <w:spacing w:before="240" w:after="60"/>
    </w:pPr>
    <w:rPr>
      <w:rFonts w:ascii="Times New Roman" w:hAnsi="Times New Roman"/>
      <w:b/>
      <w:sz w:val="28"/>
    </w:rPr>
  </w:style>
  <w:style w:type="character" w:customStyle="1" w:styleId="Underline">
    <w:name w:val="Underline"/>
    <w:basedOn w:val="DefaultParagraphFont"/>
    <w:qFormat/>
    <w:rsid w:val="00AD3068"/>
    <w:rPr>
      <w:u w:val="single"/>
    </w:rPr>
  </w:style>
  <w:style w:type="character" w:customStyle="1" w:styleId="BoldandItalics">
    <w:name w:val="Bold and Italics"/>
    <w:qFormat/>
    <w:rsid w:val="00AD3068"/>
    <w:rPr>
      <w:b/>
      <w:i/>
      <w:u w:val="none"/>
    </w:rPr>
  </w:style>
  <w:style w:type="paragraph" w:styleId="BalloonText">
    <w:name w:val="Balloon Text"/>
    <w:basedOn w:val="Normal"/>
    <w:link w:val="BalloonTextChar"/>
    <w:rsid w:val="00AD3068"/>
    <w:rPr>
      <w:rFonts w:ascii="Tahoma" w:hAnsi="Tahoma" w:cs="Tahoma"/>
      <w:sz w:val="16"/>
      <w:szCs w:val="16"/>
    </w:rPr>
  </w:style>
  <w:style w:type="character" w:customStyle="1" w:styleId="BalloonTextChar">
    <w:name w:val="Balloon Text Char"/>
    <w:basedOn w:val="DefaultParagraphFont"/>
    <w:link w:val="BalloonText"/>
    <w:rsid w:val="00AD3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0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068"/>
    <w:rPr>
      <w:b/>
      <w:color w:val="660033"/>
      <w:spacing w:val="0"/>
    </w:rPr>
  </w:style>
  <w:style w:type="paragraph" w:customStyle="1" w:styleId="Nameditemlist">
    <w:name w:val="Named item list"/>
    <w:basedOn w:val="BodyText"/>
    <w:qFormat/>
    <w:rsid w:val="00AD3068"/>
    <w:pPr>
      <w:tabs>
        <w:tab w:val="left" w:pos="2835"/>
      </w:tabs>
      <w:ind w:left="2835" w:hanging="2835"/>
    </w:pPr>
  </w:style>
  <w:style w:type="paragraph" w:customStyle="1" w:styleId="BodyTextnopadding">
    <w:name w:val="Body Text no padding"/>
    <w:basedOn w:val="BodyText"/>
    <w:qFormat/>
    <w:rsid w:val="00AD3068"/>
    <w:pPr>
      <w:spacing w:before="0" w:after="0"/>
    </w:pPr>
  </w:style>
  <w:style w:type="paragraph" w:customStyle="1" w:styleId="BodyTextBold">
    <w:name w:val="Body Text Bold"/>
    <w:basedOn w:val="BodyText"/>
    <w:qFormat/>
    <w:rsid w:val="00AD3068"/>
    <w:rPr>
      <w:b/>
    </w:rPr>
  </w:style>
  <w:style w:type="character" w:styleId="Hyperlink">
    <w:name w:val="Hyperlink"/>
    <w:basedOn w:val="DefaultParagraphFont"/>
    <w:uiPriority w:val="99"/>
    <w:unhideWhenUsed/>
    <w:rsid w:val="00C06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974</Words>
  <Characters>6391</Characters>
  <Application>Microsoft Office Word</Application>
  <DocSecurity>0</DocSecurity>
  <Lines>182</Lines>
  <Paragraphs>136</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RIIRAI509D Implement mine fixed plant and infrastructure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