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790" w:rsidP="00FB07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RIIRAI508D Implement mine services systems</w:t>
      </w:r>
      <w:r>
        <w:fldChar w:fldCharType="end"/>
      </w:r>
    </w:p>
    <w:p w:rsidR="00FB0790" w:rsidP="00FB0790">
      <w:pPr>
        <w:pStyle w:val="Version"/>
        <w:sectPr w:rsidSect="00236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6137" w:rsidP="00236137">
      <w:pPr>
        <w:pStyle w:val="SuperHeading"/>
      </w:pPr>
      <w:r w:rsidRPr="00236137">
        <w:t>Assessment Requirements for RIIRAI508D Implement mine services systems</w:t>
      </w:r>
    </w:p>
    <w:p w:rsidR="00000000" w:rsidRPr="00236137" w:rsidP="00236137">
      <w:pPr>
        <w:pStyle w:val="Heading1"/>
      </w:pPr>
      <w:bookmarkStart w:id="1" w:name="O_686245"/>
      <w:bookmarkEnd w:id="1"/>
      <w:r w:rsidRPr="002361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B07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137">
            <w:pPr>
              <w:pStyle w:val="Heading4"/>
              <w:rPr>
                <w:lang w:val="en-NZ"/>
              </w:rPr>
            </w:pPr>
            <w:r w:rsidRPr="0023613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137">
            <w:pPr>
              <w:pStyle w:val="Heading4"/>
              <w:rPr>
                <w:lang w:val="en-NZ"/>
              </w:rPr>
            </w:pPr>
            <w:r w:rsidRPr="00236137">
              <w:t>Comment</w:t>
            </w:r>
          </w:p>
        </w:tc>
      </w:tr>
      <w:tr w:rsidTr="00FB07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>This unit replaces RIIRAI508A Implement mine services systems</w:t>
            </w:r>
          </w:p>
        </w:tc>
      </w:tr>
      <w:tr w:rsidTr="00FB07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6137" w:rsidP="00236137">
            <w:pPr>
              <w:pStyle w:val="BodyText"/>
            </w:pPr>
            <w:r w:rsidRPr="00236137">
              <w:t>Required frequency and volume of evidence amended in Performance evidence.</w:t>
            </w:r>
          </w:p>
          <w:p w:rsidR="00000000" w:rsidRPr="00236137" w:rsidP="00236137">
            <w:pPr>
              <w:pStyle w:val="BodyText"/>
            </w:pPr>
            <w:r w:rsidRPr="00236137">
              <w:t>Substantial amendments made in Assessment Conditions field, including: references to Industry Sectors, assessor and subject matter expert experience requirements, how assessment sho</w:t>
            </w:r>
            <w:r w:rsidRPr="00236137">
              <w:t>uld be conducted and what it should confirm.</w:t>
            </w:r>
          </w:p>
        </w:tc>
      </w:tr>
    </w:tbl>
    <w:p w:rsidR="00000000" w:rsidRPr="00236137" w:rsidP="00236137">
      <w:pPr>
        <w:pStyle w:val="BodyText"/>
      </w:pPr>
    </w:p>
    <w:p w:rsidR="00000000" w:rsidRPr="00236137" w:rsidP="00236137">
      <w:pPr>
        <w:pStyle w:val="AllowPageBreak"/>
      </w:pPr>
    </w:p>
    <w:p w:rsidR="00000000" w:rsidRPr="00236137" w:rsidP="00236137">
      <w:pPr>
        <w:pStyle w:val="Heading1"/>
      </w:pPr>
      <w:bookmarkStart w:id="2" w:name="O_686244"/>
      <w:bookmarkEnd w:id="2"/>
      <w:r w:rsidRPr="00236137">
        <w:t>Performance Evidence</w:t>
      </w:r>
    </w:p>
    <w:p w:rsidR="00000000" w:rsidRPr="00236137" w:rsidP="00FB0790">
      <w:pPr>
        <w:pStyle w:val="BodyText"/>
      </w:pPr>
      <w:r w:rsidRPr="00236137">
        <w:t>Evidence is required to be collected that demonstrates a candidate’s competency in this unit. Evidence must be relevant to the roles within this sector’s work operations a</w:t>
      </w:r>
      <w:r w:rsidRPr="00236137">
        <w:t>nd satisfy all of the requirements of the performance criteria of this unit and include evidence that the candidate:</w:t>
      </w:r>
    </w:p>
    <w:p w:rsidR="00000000" w:rsidRPr="00236137" w:rsidP="00236137">
      <w:pPr>
        <w:pStyle w:val="ListBullet2"/>
      </w:pPr>
      <w:r w:rsidRPr="00236137">
        <w:t>locates and applies applicable legislation, documentation, policies and procedures</w:t>
      </w:r>
    </w:p>
    <w:p w:rsidR="00000000" w:rsidRPr="00236137" w:rsidP="00236137">
      <w:pPr>
        <w:pStyle w:val="ListBullet2"/>
      </w:pPr>
      <w:r w:rsidRPr="00236137">
        <w:t>implements procedures and techniques for the safe, effective and efficient implementation of mine services systems including:</w:t>
      </w:r>
    </w:p>
    <w:p w:rsidR="00000000" w:rsidRPr="00236137" w:rsidP="00236137">
      <w:pPr>
        <w:pStyle w:val="ListBullet3"/>
      </w:pPr>
      <w:r w:rsidRPr="00236137">
        <w:t>providing team leadership</w:t>
      </w:r>
    </w:p>
    <w:p w:rsidR="00000000" w:rsidRPr="00236137" w:rsidP="00236137">
      <w:pPr>
        <w:pStyle w:val="ListBullet3"/>
      </w:pPr>
      <w:r w:rsidRPr="00236137">
        <w:t xml:space="preserve">identifying and addressing training needs </w:t>
      </w:r>
    </w:p>
    <w:p w:rsidR="00000000" w:rsidRPr="00236137" w:rsidP="00236137">
      <w:pPr>
        <w:pStyle w:val="ListBullet3"/>
      </w:pPr>
      <w:r w:rsidRPr="00236137">
        <w:t>implementing hazard identification and risks assessment proc</w:t>
      </w:r>
      <w:r w:rsidRPr="00236137">
        <w:t>esses</w:t>
      </w:r>
    </w:p>
    <w:p w:rsidR="00000000" w:rsidRPr="00236137" w:rsidP="00236137">
      <w:pPr>
        <w:pStyle w:val="ListBullet3"/>
      </w:pPr>
      <w:r w:rsidRPr="00236137">
        <w:t>managing work planning and coordination activities</w:t>
      </w:r>
    </w:p>
    <w:p w:rsidR="00000000" w:rsidRPr="00236137" w:rsidP="00236137">
      <w:pPr>
        <w:pStyle w:val="ListBullet3"/>
      </w:pPr>
      <w:r w:rsidRPr="00236137">
        <w:t>accessing, interpreting and applying manufacturer’s instructions</w:t>
      </w:r>
    </w:p>
    <w:p w:rsidR="00000000" w:rsidRPr="00236137" w:rsidP="00236137">
      <w:pPr>
        <w:pStyle w:val="ListBullet2"/>
      </w:pPr>
      <w:r w:rsidRPr="00236137">
        <w:t>accessing, interpreting and applying:</w:t>
      </w:r>
    </w:p>
    <w:p w:rsidR="00000000" w:rsidRPr="00236137" w:rsidP="00236137">
      <w:pPr>
        <w:pStyle w:val="ListBullet3"/>
      </w:pPr>
      <w:r w:rsidRPr="00236137">
        <w:t>technical information</w:t>
      </w:r>
    </w:p>
    <w:p w:rsidR="00000000" w:rsidRPr="00236137" w:rsidP="00236137">
      <w:pPr>
        <w:pStyle w:val="ListBullet3"/>
      </w:pPr>
      <w:r w:rsidRPr="00236137">
        <w:t>briefings and handover details</w:t>
      </w:r>
    </w:p>
    <w:p w:rsidR="00000000" w:rsidRPr="00236137" w:rsidP="00236137">
      <w:pPr>
        <w:pStyle w:val="ListBullet3"/>
      </w:pPr>
      <w:r w:rsidRPr="00236137">
        <w:t>site/legislative requirements</w:t>
      </w:r>
    </w:p>
    <w:p w:rsidR="00000000" w:rsidRPr="00236137" w:rsidP="00236137">
      <w:pPr>
        <w:pStyle w:val="ListBullet3"/>
      </w:pPr>
      <w:r w:rsidRPr="00236137">
        <w:t>records and</w:t>
      </w:r>
      <w:r w:rsidRPr="00236137">
        <w:t xml:space="preserve"> reports</w:t>
      </w:r>
    </w:p>
    <w:p w:rsidR="00000000" w:rsidRPr="00236137" w:rsidP="00236137">
      <w:pPr>
        <w:pStyle w:val="ListBullet3"/>
      </w:pPr>
      <w:r w:rsidRPr="00236137">
        <w:t>applying maintenance survey procedures</w:t>
      </w:r>
    </w:p>
    <w:p w:rsidR="00000000" w:rsidRPr="00236137" w:rsidP="00236137">
      <w:pPr>
        <w:pStyle w:val="ListBullet2"/>
      </w:pPr>
      <w:r w:rsidRPr="00236137">
        <w:t>demonstrates the identification and selection of viable options for the implementation of mine services and systems that best meet the required outcomes through:</w:t>
      </w:r>
    </w:p>
    <w:p w:rsidR="00000000" w:rsidRPr="00236137" w:rsidP="00236137">
      <w:pPr>
        <w:pStyle w:val="ListBullet3"/>
      </w:pPr>
      <w:r w:rsidRPr="00236137">
        <w:t xml:space="preserve">accessing, interpreting and applying safety </w:t>
      </w:r>
      <w:r w:rsidRPr="00236137">
        <w:t>design features of the systems</w:t>
      </w:r>
    </w:p>
    <w:p w:rsidR="00000000" w:rsidRPr="00236137" w:rsidP="00236137">
      <w:pPr>
        <w:pStyle w:val="ListBullet3"/>
      </w:pPr>
      <w:r w:rsidRPr="00236137">
        <w:t>accessing, interpreting and applying maintenance and modification systems implementation requirements and procedures</w:t>
      </w:r>
    </w:p>
    <w:p w:rsidR="00000000" w:rsidRPr="00236137" w:rsidP="00236137">
      <w:pPr>
        <w:pStyle w:val="ListBullet2"/>
      </w:pPr>
      <w:r w:rsidRPr="00236137">
        <w:t xml:space="preserve">works effectively with others to undertake and complete the implementation of mine services </w:t>
      </w:r>
      <w:r w:rsidRPr="00236137">
        <w:t>systems including:</w:t>
      </w:r>
    </w:p>
    <w:p w:rsidR="00000000" w:rsidRPr="00236137" w:rsidP="00236137">
      <w:pPr>
        <w:pStyle w:val="ListBullet3"/>
      </w:pPr>
      <w:r w:rsidRPr="00236137">
        <w:t>managing people and processes</w:t>
      </w:r>
    </w:p>
    <w:p w:rsidR="00000000" w:rsidRPr="00236137" w:rsidP="00236137">
      <w:pPr>
        <w:pStyle w:val="ListBullet3"/>
      </w:pPr>
      <w:r w:rsidRPr="00236137">
        <w:t>resolving conflict</w:t>
      </w:r>
    </w:p>
    <w:p w:rsidR="00000000" w:rsidRPr="00236137" w:rsidP="00236137">
      <w:pPr>
        <w:pStyle w:val="ListBullet3"/>
      </w:pPr>
      <w:r w:rsidRPr="00236137">
        <w:t xml:space="preserve">coordinating human, financial and physical resources </w:t>
      </w:r>
    </w:p>
    <w:p w:rsidR="00000000" w:rsidRPr="00236137" w:rsidP="00236137">
      <w:pPr>
        <w:pStyle w:val="ListBullet3"/>
      </w:pPr>
      <w:r w:rsidRPr="00236137">
        <w:t>developing, initiating and administering work plans</w:t>
      </w:r>
    </w:p>
    <w:p w:rsidR="00000000" w:rsidRPr="00236137" w:rsidP="00236137">
      <w:pPr>
        <w:pStyle w:val="ListBullet3"/>
      </w:pPr>
      <w:r w:rsidRPr="00236137">
        <w:t>interpreting and applying operational performance data</w:t>
      </w:r>
    </w:p>
    <w:p w:rsidR="00000000" w:rsidRPr="00236137" w:rsidP="00236137">
      <w:pPr>
        <w:pStyle w:val="ListBullet3"/>
      </w:pPr>
      <w:r w:rsidRPr="00236137">
        <w:t>engaging internal and exte</w:t>
      </w:r>
      <w:r w:rsidRPr="00236137">
        <w:t xml:space="preserve">rnal stakeholders </w:t>
      </w:r>
    </w:p>
    <w:p w:rsidR="00000000" w:rsidRPr="00236137" w:rsidP="00236137">
      <w:pPr>
        <w:pStyle w:val="ListBullet2"/>
      </w:pPr>
      <w:r w:rsidRPr="00236137">
        <w:t>demonstrates completion of the implementation of mine services and systems that safely, effectively and efficiently meets all of the required outcomes on more than one (1) occasion including:</w:t>
      </w:r>
    </w:p>
    <w:p w:rsidR="00000000" w:rsidRPr="00236137" w:rsidP="00236137">
      <w:pPr>
        <w:pStyle w:val="ListBullet3"/>
      </w:pPr>
      <w:r w:rsidRPr="00236137">
        <w:t xml:space="preserve">identification of the relevant information </w:t>
      </w:r>
      <w:r w:rsidRPr="00236137">
        <w:t>and scope of the work</w:t>
      </w:r>
    </w:p>
    <w:p w:rsidR="00000000" w:rsidRPr="00236137" w:rsidP="00236137">
      <w:pPr>
        <w:pStyle w:val="ListBullet3"/>
      </w:pPr>
      <w:r w:rsidRPr="00236137">
        <w:t>identifying the full range of specification requirements</w:t>
      </w:r>
    </w:p>
    <w:p w:rsidR="00000000" w:rsidRPr="00236137" w:rsidP="00236137">
      <w:pPr>
        <w:pStyle w:val="ListBullet3"/>
      </w:pPr>
      <w:r w:rsidRPr="00236137">
        <w:t>identifying all aspects of the mine services systems</w:t>
      </w:r>
    </w:p>
    <w:p w:rsidR="00000000" w:rsidRPr="00236137" w:rsidP="00236137">
      <w:pPr>
        <w:pStyle w:val="ListBullet3"/>
      </w:pPr>
      <w:r w:rsidRPr="00236137">
        <w:t>implementing installation and commissioning procedures</w:t>
      </w:r>
    </w:p>
    <w:p w:rsidR="00000000" w:rsidRPr="00236137" w:rsidP="00236137">
      <w:pPr>
        <w:pStyle w:val="ListBullet3"/>
      </w:pPr>
      <w:r w:rsidRPr="00236137">
        <w:t>implementing systems for the operation and maintenance of mine servic</w:t>
      </w:r>
      <w:r w:rsidRPr="00236137">
        <w:t>es systems and equipment</w:t>
      </w:r>
    </w:p>
    <w:p w:rsidR="00000000" w:rsidRPr="00236137" w:rsidP="00236137">
      <w:pPr>
        <w:pStyle w:val="ListBullet3"/>
      </w:pPr>
      <w:r w:rsidRPr="00236137">
        <w:t>implementing and managing the audit and review processes</w:t>
      </w:r>
    </w:p>
    <w:p w:rsidR="00000000" w:rsidRPr="00236137" w:rsidP="00236137">
      <w:pPr>
        <w:pStyle w:val="AllowPageBreak"/>
      </w:pPr>
    </w:p>
    <w:p w:rsidR="00000000" w:rsidRPr="00236137" w:rsidP="00236137">
      <w:pPr>
        <w:pStyle w:val="Heading1"/>
      </w:pPr>
      <w:bookmarkStart w:id="3" w:name="O_686242"/>
      <w:bookmarkEnd w:id="3"/>
      <w:r w:rsidRPr="00236137">
        <w:t>Knowledge Evidence</w:t>
      </w:r>
    </w:p>
    <w:p w:rsidR="00000000" w:rsidRPr="00236137" w:rsidP="00FB0790">
      <w:pPr>
        <w:pStyle w:val="BodyText"/>
      </w:pPr>
      <w:r w:rsidRPr="00236137">
        <w:t>The candidate must demonstrate knowledge in implementing mine services systems through:</w:t>
      </w:r>
    </w:p>
    <w:p w:rsidR="00000000" w:rsidRPr="00236137" w:rsidP="00236137">
      <w:pPr>
        <w:pStyle w:val="ListBullet2"/>
      </w:pPr>
      <w:r w:rsidRPr="00236137">
        <w:t>legislative, Australian standards, organisation and site requirements and procedures for;</w:t>
      </w:r>
    </w:p>
    <w:p w:rsidR="00000000" w:rsidRPr="00236137" w:rsidP="00236137">
      <w:pPr>
        <w:pStyle w:val="ListBullet3"/>
      </w:pPr>
      <w:r w:rsidRPr="00236137">
        <w:t>emergency response and disaster planning processes</w:t>
      </w:r>
    </w:p>
    <w:p w:rsidR="00000000" w:rsidRPr="00236137" w:rsidP="00236137">
      <w:pPr>
        <w:pStyle w:val="ListBullet3"/>
      </w:pPr>
      <w:r w:rsidRPr="00236137">
        <w:t>audit review</w:t>
      </w:r>
    </w:p>
    <w:p w:rsidR="00000000" w:rsidRPr="00236137" w:rsidP="00236137">
      <w:pPr>
        <w:pStyle w:val="ListBullet3"/>
      </w:pPr>
      <w:r w:rsidRPr="00236137">
        <w:t>site document control</w:t>
      </w:r>
    </w:p>
    <w:p w:rsidR="00000000" w:rsidRPr="00236137" w:rsidP="00236137">
      <w:pPr>
        <w:pStyle w:val="ListBullet3"/>
      </w:pPr>
      <w:r w:rsidRPr="00236137">
        <w:t>site environmental monitoring</w:t>
      </w:r>
    </w:p>
    <w:p w:rsidR="00000000" w:rsidRPr="00236137" w:rsidP="00236137">
      <w:pPr>
        <w:pStyle w:val="ListBullet3"/>
      </w:pPr>
      <w:r w:rsidRPr="00236137">
        <w:t>risk management</w:t>
      </w:r>
    </w:p>
    <w:p w:rsidR="00000000" w:rsidRPr="00236137" w:rsidP="00236137">
      <w:pPr>
        <w:pStyle w:val="ListBullet3"/>
      </w:pPr>
      <w:r w:rsidRPr="00236137">
        <w:t>site reporting</w:t>
      </w:r>
    </w:p>
    <w:p w:rsidR="00000000" w:rsidRPr="00236137" w:rsidP="00236137">
      <w:pPr>
        <w:pStyle w:val="ListBullet2"/>
      </w:pPr>
      <w:r w:rsidRPr="00236137">
        <w:t>energy sources in</w:t>
      </w:r>
      <w:r w:rsidRPr="00236137">
        <w:t>cluding electrical, hydraulic, pneumatic, diesel</w:t>
      </w:r>
    </w:p>
    <w:p w:rsidR="00000000" w:rsidRPr="00236137" w:rsidP="00236137">
      <w:pPr>
        <w:pStyle w:val="ListBullet2"/>
      </w:pPr>
      <w:r w:rsidRPr="00236137">
        <w:t>site design relating to mine services systems</w:t>
      </w:r>
    </w:p>
    <w:p w:rsidR="00000000" w:rsidRPr="00236137" w:rsidP="00236137">
      <w:pPr>
        <w:pStyle w:val="ListBullet2"/>
      </w:pPr>
      <w:r w:rsidRPr="00236137">
        <w:t>computer based systems</w:t>
      </w:r>
    </w:p>
    <w:p w:rsidR="00000000" w:rsidRPr="00236137" w:rsidP="00236137">
      <w:pPr>
        <w:pStyle w:val="ListBullet2"/>
      </w:pPr>
      <w:r w:rsidRPr="00236137">
        <w:t>firefighting systems and precaution rules</w:t>
      </w:r>
    </w:p>
    <w:p w:rsidR="00000000" w:rsidRPr="00236137" w:rsidP="00236137">
      <w:pPr>
        <w:pStyle w:val="ListBullet2"/>
      </w:pPr>
      <w:r w:rsidRPr="00236137">
        <w:t>stores systems</w:t>
      </w:r>
    </w:p>
    <w:p w:rsidR="00000000" w:rsidRPr="00236137" w:rsidP="00236137">
      <w:pPr>
        <w:pStyle w:val="ListBullet2"/>
      </w:pPr>
      <w:r w:rsidRPr="00236137">
        <w:t>mine operating procedures</w:t>
      </w:r>
    </w:p>
    <w:p w:rsidR="00000000" w:rsidRPr="00236137" w:rsidP="00236137">
      <w:pPr>
        <w:pStyle w:val="ListBullet2"/>
      </w:pPr>
      <w:r w:rsidRPr="00236137">
        <w:t>safety design features for maintenance of mine services systems</w:t>
      </w:r>
    </w:p>
    <w:p w:rsidR="00000000" w:rsidRPr="00236137" w:rsidP="00236137">
      <w:pPr>
        <w:pStyle w:val="ListBullet2"/>
      </w:pPr>
      <w:r w:rsidRPr="00236137">
        <w:t>maintenance surveys</w:t>
      </w:r>
    </w:p>
    <w:p w:rsidR="00000000" w:rsidRPr="00236137" w:rsidP="00236137">
      <w:pPr>
        <w:pStyle w:val="AllowPageBreak"/>
      </w:pPr>
    </w:p>
    <w:p w:rsidR="00000000" w:rsidRPr="00236137" w:rsidP="00236137">
      <w:pPr>
        <w:pStyle w:val="Heading1"/>
      </w:pPr>
      <w:bookmarkStart w:id="4" w:name="O_686241"/>
      <w:bookmarkEnd w:id="4"/>
      <w:r w:rsidRPr="00236137">
        <w:t>Assessment Conditions</w:t>
      </w:r>
    </w:p>
    <w:p w:rsidR="00000000" w:rsidRPr="00236137" w:rsidP="00236137">
      <w:pPr>
        <w:pStyle w:val="ListBullet"/>
      </w:pPr>
      <w:r w:rsidRPr="00236137">
        <w:t>An assessor of this unit must satisfy the requirements of the NVR/AQTF or their successors; and Industry regulations for certificati</w:t>
      </w:r>
      <w:r w:rsidRPr="00236137">
        <w:t xml:space="preserve">on and licensing; and, </w:t>
      </w:r>
    </w:p>
    <w:p w:rsidR="00000000" w:rsidRPr="00236137" w:rsidP="00236137">
      <w:pPr>
        <w:pStyle w:val="ListBullet"/>
      </w:pPr>
      <w:r w:rsidRPr="00236137">
        <w:t>this unit must be assessed in the context of this sector’s work environment; and,</w:t>
      </w:r>
    </w:p>
    <w:p w:rsidR="00000000" w:rsidRPr="00236137" w:rsidP="00236137">
      <w:pPr>
        <w:pStyle w:val="ListBullet"/>
      </w:pPr>
      <w:r w:rsidRPr="00236137">
        <w:t>this unit must be assessed in compliance with relevant legislation/regulation and using policies, procedures, processes and operational manuals direct</w:t>
      </w:r>
      <w:r w:rsidRPr="00236137">
        <w:t>ly related to the industry sector for which it is being assessed; and,</w:t>
      </w:r>
    </w:p>
    <w:p w:rsidR="00000000" w:rsidRPr="00236137" w:rsidP="00236137">
      <w:pPr>
        <w:pStyle w:val="ListBullet"/>
      </w:pPr>
      <w:r w:rsidRPr="00236137">
        <w:t>assessment may be conducted in conjunction with the assessment of other Units of Competency; and,</w:t>
      </w:r>
    </w:p>
    <w:p w:rsidR="00000000" w:rsidRPr="00236137" w:rsidP="00236137">
      <w:pPr>
        <w:pStyle w:val="ListBullet"/>
      </w:pPr>
      <w:r w:rsidRPr="00236137">
        <w:t>assessment must confirm consistent performance can be applied in a range of relevant wo</w:t>
      </w:r>
      <w:r w:rsidRPr="00236137">
        <w:t>rkplace circumstances; and,</w:t>
      </w:r>
    </w:p>
    <w:p w:rsidR="00000000" w:rsidRPr="00236137" w:rsidP="00236137">
      <w:pPr>
        <w:pStyle w:val="ListBullet"/>
      </w:pPr>
      <w:r w:rsidRPr="00236137">
        <w:t xml:space="preserve">assessors must demonstrate the performance evidence, and knowledge evidence as outlined in this Unit of Competency, and through the minimum years of current* work experience specified below in an </w:t>
      </w:r>
      <w:r w:rsidRPr="00236137">
        <w:t>Industry sector relevant to the outcomes of the unit; or,</w:t>
      </w:r>
    </w:p>
    <w:p w:rsidR="00000000" w:rsidRPr="00236137" w:rsidP="00236137">
      <w:pPr>
        <w:pStyle w:val="ListBullet"/>
      </w:pPr>
      <w:r w:rsidRPr="00236137">
        <w:t>where the assessor does not meet experience requirements a co-assessment or partnership arrangement must exist between the qualified assessor and an Industry subject matter expert. The Industry subj</w:t>
      </w:r>
      <w:r w:rsidRPr="00236137">
        <w:t>ect matter expert should hold the unit being assessed (or an equivalent unit) and/or demonstrate equivalence of skills and knowledge at the unit level. An Industry technical expert must also demonstrate skills and knowledge from the minimum years of curren</w:t>
      </w:r>
      <w:r w:rsidRPr="00236137">
        <w:t>t work experience specified below in the Industry sector, including time spent in roles related to the unit being assessed; and,</w:t>
      </w:r>
    </w:p>
    <w:p w:rsidR="00000000" w:rsidRPr="00236137" w:rsidP="00236137">
      <w:pPr>
        <w:pStyle w:val="ListBullet"/>
      </w:pPr>
      <w:r w:rsidRPr="00236137">
        <w:t>assessor and Industry subject matter expert requirements differ depending on the Australian Qualifications Framework Level (AQF</w:t>
      </w:r>
      <w:r w:rsidRPr="00236137">
        <w:t>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361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SubHeading1"/>
              <w:rPr>
                <w:lang w:val="en-NZ"/>
              </w:rPr>
            </w:pPr>
            <w:r w:rsidRPr="0023613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SubHeading1"/>
              <w:rPr>
                <w:lang w:val="en-NZ"/>
              </w:rPr>
            </w:pPr>
            <w:r w:rsidRPr="0023613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SubHeading1"/>
              <w:rPr>
                <w:lang w:val="en-NZ"/>
              </w:rPr>
            </w:pPr>
            <w:r w:rsidRPr="00236137">
              <w:t>Required assessor or Industry subject matter expert experience</w:t>
            </w:r>
          </w:p>
        </w:tc>
      </w:tr>
      <w:tr w:rsidTr="002361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>1 Year</w:t>
            </w:r>
          </w:p>
        </w:tc>
      </w:tr>
      <w:tr w:rsidTr="002361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>2 Years</w:t>
            </w:r>
          </w:p>
        </w:tc>
      </w:tr>
      <w:tr w:rsidTr="002361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>3 Years</w:t>
            </w:r>
          </w:p>
        </w:tc>
      </w:tr>
      <w:tr w:rsidTr="002361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>5 Years</w:t>
            </w:r>
          </w:p>
        </w:tc>
      </w:tr>
      <w:tr w:rsidTr="0023613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6137">
            <w:pPr>
              <w:pStyle w:val="BodyText"/>
              <w:rPr>
                <w:lang w:val="en-NZ"/>
              </w:rPr>
            </w:pPr>
            <w:r w:rsidRPr="0023613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6137" w:rsidP="00236137">
            <w:pPr>
              <w:pStyle w:val="BodyText"/>
            </w:pPr>
            <w:r w:rsidRPr="0023613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36137">
              <w:t>ndard is specified should comply with any relevant regulation.</w:t>
            </w:r>
          </w:p>
        </w:tc>
      </w:tr>
    </w:tbl>
    <w:p w:rsidR="00000000" w:rsidRPr="00236137" w:rsidP="00FB0790">
      <w:pPr>
        <w:pStyle w:val="BodyText"/>
      </w:pPr>
      <w:r w:rsidRPr="00236137">
        <w:t>*Assessors can demonstrate current work experience through employment within Industry in a role relevant to the outcomes of the Unit; or, for external assessors this can be demonstrated throu</w:t>
      </w:r>
      <w:r w:rsidRPr="00236137">
        <w:t>gh exposure to Industry by conducting frequent site assessments across various locations.</w:t>
      </w:r>
    </w:p>
    <w:p w:rsidR="00FB0790" w:rsidP="00FB0790">
      <w:pPr>
        <w:pStyle w:val="BodyText"/>
      </w:pPr>
      <w:r w:rsidRPr="00236137">
        <w:t>**Where a unit is being delivered outside of a Qualification the first numeric character in the Unit code should be considered to indicate the AQF level</w:t>
      </w:r>
    </w:p>
    <w:p w:rsidR="00000000" w:rsidRPr="00236137" w:rsidP="00236137">
      <w:pPr>
        <w:pStyle w:val="Heading1"/>
      </w:pPr>
      <w:bookmarkStart w:id="5" w:name="O_686266"/>
      <w:bookmarkEnd w:id="5"/>
      <w:r w:rsidRPr="00236137">
        <w:t>Links</w:t>
      </w:r>
    </w:p>
    <w:p w:rsidR="00000000" w:rsidRPr="00236137" w:rsidP="00FB0790">
      <w:pPr>
        <w:pStyle w:val="BodyText"/>
      </w:pPr>
      <w:r w:rsidRPr="002361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56A2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36137" w:rsidP="00236137"/>
    <w:sectPr w:rsidSect="002361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137" w:rsidRPr="00FB0790" w:rsidP="00FB07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90" w:rsidP="00236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790" w:rsidP="00236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0790" w:rsidP="00236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137" w:rsidRPr="00FB0790" w:rsidP="00FB07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90" w:rsidRPr="002D2AF8" w:rsidP="00236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RIIRAI508D Implement mine services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FB0790" w:rsidP="00236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70AC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C46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5E0C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137"/>
  </w:style>
  <w:style w:type="character" w:customStyle="1" w:styleId="Heading1Char">
    <w:name w:val="Heading 1 Char"/>
    <w:basedOn w:val="DefaultParagraphFont"/>
    <w:link w:val="Heading1"/>
    <w:rsid w:val="00236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13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36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1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61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6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236137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2361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36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6137"/>
    <w:rPr>
      <w:b/>
      <w:spacing w:val="0"/>
    </w:rPr>
  </w:style>
  <w:style w:type="paragraph" w:customStyle="1" w:styleId="SuperTitle">
    <w:name w:val="SuperTitle"/>
    <w:basedOn w:val="Title"/>
    <w:rsid w:val="00236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1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137"/>
    <w:rPr>
      <w:i/>
    </w:rPr>
  </w:style>
  <w:style w:type="paragraph" w:styleId="Caption">
    <w:name w:val="caption"/>
    <w:basedOn w:val="BodyText"/>
    <w:next w:val="Normal"/>
    <w:qFormat/>
    <w:rsid w:val="00236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137"/>
  </w:style>
  <w:style w:type="paragraph" w:styleId="TableofFigures">
    <w:name w:val="table of figures"/>
    <w:basedOn w:val="Normal"/>
    <w:next w:val="Normal"/>
    <w:semiHidden/>
    <w:rsid w:val="00236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1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36137"/>
    <w:rPr>
      <w:rFonts w:ascii="Wingdings" w:hAnsi="Wingdings"/>
    </w:rPr>
  </w:style>
  <w:style w:type="paragraph" w:customStyle="1" w:styleId="TableHeading">
    <w:name w:val="Table Heading"/>
    <w:basedOn w:val="HeadingBase"/>
    <w:rsid w:val="00236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137"/>
    <w:rPr>
      <w:color w:val="0033CC"/>
      <w:u w:val="none"/>
    </w:rPr>
  </w:style>
  <w:style w:type="paragraph" w:customStyle="1" w:styleId="BodyTextRight">
    <w:name w:val="Body Text Right"/>
    <w:basedOn w:val="BodyText"/>
    <w:rsid w:val="00236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1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137"/>
    <w:rPr>
      <w:sz w:val="32"/>
    </w:rPr>
  </w:style>
  <w:style w:type="paragraph" w:customStyle="1" w:styleId="HeadingProcedure">
    <w:name w:val="Heading Procedure"/>
    <w:basedOn w:val="HeadingBase"/>
    <w:next w:val="Normal"/>
    <w:rsid w:val="00236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137"/>
    <w:pPr>
      <w:spacing w:before="60" w:after="60"/>
    </w:pPr>
  </w:style>
  <w:style w:type="paragraph" w:styleId="ListContinue">
    <w:name w:val="List Continue"/>
    <w:basedOn w:val="List"/>
    <w:rsid w:val="00236137"/>
    <w:pPr>
      <w:ind w:firstLine="0"/>
    </w:pPr>
  </w:style>
  <w:style w:type="paragraph" w:customStyle="1" w:styleId="ListNote">
    <w:name w:val="List Note"/>
    <w:basedOn w:val="List"/>
    <w:rsid w:val="00236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137"/>
    <w:rPr>
      <w:rFonts w:ascii="Courier New" w:hAnsi="Courier New"/>
    </w:rPr>
  </w:style>
  <w:style w:type="paragraph" w:customStyle="1" w:styleId="NoteBullet">
    <w:name w:val="Note Bullet"/>
    <w:basedOn w:val="Note"/>
    <w:rsid w:val="00236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137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236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1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36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137"/>
    <w:rPr>
      <w:b/>
      <w:smallCaps/>
    </w:rPr>
  </w:style>
  <w:style w:type="paragraph" w:customStyle="1" w:styleId="TableListNumber">
    <w:name w:val="Table List Number"/>
    <w:basedOn w:val="ListNumber"/>
    <w:rsid w:val="00236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137"/>
    <w:pPr>
      <w:numPr>
        <w:numId w:val="10"/>
      </w:numPr>
    </w:pPr>
  </w:style>
  <w:style w:type="paragraph" w:customStyle="1" w:styleId="ListAlpha2">
    <w:name w:val="List Alpha 2"/>
    <w:basedOn w:val="List2"/>
    <w:rsid w:val="00236137"/>
    <w:pPr>
      <w:numPr>
        <w:numId w:val="9"/>
      </w:numPr>
    </w:pPr>
  </w:style>
  <w:style w:type="paragraph" w:styleId="List2">
    <w:name w:val="List 2"/>
    <w:basedOn w:val="BodyText"/>
    <w:rsid w:val="00236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1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361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36137"/>
    <w:pPr>
      <w:numPr>
        <w:numId w:val="5"/>
      </w:numPr>
    </w:pPr>
  </w:style>
  <w:style w:type="paragraph" w:styleId="ListContinue2">
    <w:name w:val="List Continue 2"/>
    <w:basedOn w:val="List2"/>
    <w:rsid w:val="00236137"/>
    <w:pPr>
      <w:ind w:firstLine="0"/>
    </w:pPr>
  </w:style>
  <w:style w:type="paragraph" w:styleId="ListContinue3">
    <w:name w:val="List Continue 3"/>
    <w:basedOn w:val="List3"/>
    <w:rsid w:val="00236137"/>
    <w:pPr>
      <w:ind w:left="1021" w:firstLine="0"/>
    </w:pPr>
  </w:style>
  <w:style w:type="paragraph" w:styleId="ListContinue4">
    <w:name w:val="List Continue 4"/>
    <w:basedOn w:val="List4"/>
    <w:rsid w:val="00236137"/>
    <w:pPr>
      <w:ind w:firstLine="0"/>
    </w:pPr>
  </w:style>
  <w:style w:type="paragraph" w:styleId="ListContinue5">
    <w:name w:val="List Continue 5"/>
    <w:basedOn w:val="List5"/>
    <w:rsid w:val="00236137"/>
    <w:pPr>
      <w:ind w:firstLine="0"/>
    </w:pPr>
  </w:style>
  <w:style w:type="paragraph" w:styleId="ListNumber3">
    <w:name w:val="List Number 3"/>
    <w:basedOn w:val="List3"/>
    <w:rsid w:val="00236137"/>
    <w:pPr>
      <w:numPr>
        <w:numId w:val="6"/>
      </w:numPr>
    </w:pPr>
  </w:style>
  <w:style w:type="paragraph" w:styleId="ListNumber4">
    <w:name w:val="List Number 4"/>
    <w:basedOn w:val="List4"/>
    <w:rsid w:val="00236137"/>
    <w:pPr>
      <w:numPr>
        <w:numId w:val="7"/>
      </w:numPr>
    </w:pPr>
  </w:style>
  <w:style w:type="paragraph" w:styleId="ListNumber5">
    <w:name w:val="List Number 5"/>
    <w:basedOn w:val="List5"/>
    <w:rsid w:val="00236137"/>
    <w:pPr>
      <w:numPr>
        <w:numId w:val="8"/>
      </w:numPr>
    </w:pPr>
  </w:style>
  <w:style w:type="paragraph" w:styleId="BlockText">
    <w:name w:val="Block Text"/>
    <w:basedOn w:val="Normal"/>
    <w:rsid w:val="00236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137"/>
    <w:rPr>
      <w:sz w:val="16"/>
      <w:vertAlign w:val="superscript"/>
    </w:rPr>
  </w:style>
  <w:style w:type="character" w:customStyle="1" w:styleId="Symbols">
    <w:name w:val="Symbols"/>
    <w:basedOn w:val="DefaultParagraphFont"/>
    <w:rsid w:val="00236137"/>
    <w:rPr>
      <w:rFonts w:ascii="Symbol" w:hAnsi="Symbol"/>
    </w:rPr>
  </w:style>
  <w:style w:type="character" w:customStyle="1" w:styleId="MenuOptions">
    <w:name w:val="Menu Options"/>
    <w:basedOn w:val="DefaultParagraphFont"/>
    <w:rsid w:val="00236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137"/>
    <w:rPr>
      <w:b/>
    </w:rPr>
  </w:style>
  <w:style w:type="character" w:customStyle="1" w:styleId="Underlined">
    <w:name w:val="Underlined"/>
    <w:basedOn w:val="DefaultParagraphFont"/>
    <w:rsid w:val="00236137"/>
    <w:rPr>
      <w:u w:val="single"/>
    </w:rPr>
  </w:style>
  <w:style w:type="paragraph" w:customStyle="1" w:styleId="TableBodyTextRight">
    <w:name w:val="Table Body Text Right"/>
    <w:basedOn w:val="TableBodyText"/>
    <w:rsid w:val="00236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137"/>
    <w:rPr>
      <w:sz w:val="18"/>
    </w:rPr>
  </w:style>
  <w:style w:type="paragraph" w:customStyle="1" w:styleId="BodySmallRight">
    <w:name w:val="Body Small Right"/>
    <w:basedOn w:val="BodyTextRight"/>
    <w:rsid w:val="00236137"/>
    <w:rPr>
      <w:sz w:val="18"/>
      <w:szCs w:val="18"/>
    </w:rPr>
  </w:style>
  <w:style w:type="paragraph" w:customStyle="1" w:styleId="MarginEdition">
    <w:name w:val="Margin Edition"/>
    <w:basedOn w:val="MarginNote"/>
    <w:rsid w:val="00236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137"/>
    <w:rPr>
      <w:sz w:val="2"/>
      <w:szCs w:val="2"/>
    </w:rPr>
  </w:style>
  <w:style w:type="character" w:customStyle="1" w:styleId="Small">
    <w:name w:val="Small"/>
    <w:basedOn w:val="DefaultParagraphFont"/>
    <w:rsid w:val="00236137"/>
    <w:rPr>
      <w:sz w:val="16"/>
    </w:rPr>
  </w:style>
  <w:style w:type="paragraph" w:customStyle="1" w:styleId="WideTable">
    <w:name w:val="Wide Table"/>
    <w:basedOn w:val="Normal"/>
    <w:rsid w:val="00236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137"/>
  </w:style>
  <w:style w:type="paragraph" w:styleId="Quote">
    <w:name w:val="Quote"/>
    <w:basedOn w:val="Heading1"/>
    <w:link w:val="QuoteChar"/>
    <w:qFormat/>
    <w:rsid w:val="00236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137"/>
    <w:pPr>
      <w:pageBreakBefore/>
    </w:pPr>
  </w:style>
  <w:style w:type="paragraph" w:customStyle="1" w:styleId="Border">
    <w:name w:val="Border"/>
    <w:basedOn w:val="Normal"/>
    <w:qFormat/>
    <w:rsid w:val="00236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137"/>
    <w:rPr>
      <w:u w:val="single"/>
    </w:rPr>
  </w:style>
  <w:style w:type="character" w:customStyle="1" w:styleId="BoldandItalics">
    <w:name w:val="Bold and Italics"/>
    <w:qFormat/>
    <w:rsid w:val="00236137"/>
    <w:rPr>
      <w:b/>
      <w:i/>
      <w:u w:val="none"/>
    </w:rPr>
  </w:style>
  <w:style w:type="paragraph" w:styleId="BalloonText">
    <w:name w:val="Balloon Text"/>
    <w:basedOn w:val="Normal"/>
    <w:link w:val="BalloonTextChar"/>
    <w:rsid w:val="00236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137"/>
    <w:pPr>
      <w:spacing w:before="0" w:after="0"/>
    </w:pPr>
  </w:style>
  <w:style w:type="paragraph" w:customStyle="1" w:styleId="BodyTextBold">
    <w:name w:val="Body Text Bold"/>
    <w:basedOn w:val="BodyText"/>
    <w:qFormat/>
    <w:rsid w:val="00236137"/>
    <w:rPr>
      <w:b/>
    </w:rPr>
  </w:style>
  <w:style w:type="character" w:styleId="Hyperlink">
    <w:name w:val="Hyperlink"/>
    <w:basedOn w:val="DefaultParagraphFont"/>
    <w:uiPriority w:val="99"/>
    <w:unhideWhenUsed/>
    <w:rsid w:val="00FB07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879</Words>
  <Characters>5720</Characters>
  <Application>Microsoft Office Word</Application>
  <DocSecurity>0</DocSecurity>
  <Lines>150</Lines>
  <Paragraphs>104</Paragraphs>
  <ScaleCrop>false</ScaleCrop>
  <Company>Author-it Software Corporation Ltd.</Company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RIIRAI508D Implement mine services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2021-01-25T11:09:00Z</dcterms:created>
  <dcterms:modified xsi:type="dcterms:W3CDTF">2021-01-25T11:09:00Z</dcterms:modified>
</cp:coreProperties>
</file>