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B87" w:rsidP="000D0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RIIPRE303D Conduct gold room operations</w:t>
      </w:r>
      <w:r>
        <w:fldChar w:fldCharType="end"/>
      </w:r>
    </w:p>
    <w:p w:rsidR="000D0B87" w:rsidP="000D0B87">
      <w:pPr>
        <w:pStyle w:val="Version"/>
        <w:sectPr w:rsidSect="00576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680B" w:rsidP="0057680B">
      <w:pPr>
        <w:pStyle w:val="SuperHeading"/>
      </w:pPr>
      <w:r w:rsidRPr="0057680B">
        <w:t>Assessment Requirements for RIIPRE303D Conduct gold room operations</w:t>
      </w:r>
    </w:p>
    <w:p w:rsidR="00000000" w:rsidRPr="0057680B" w:rsidP="0057680B">
      <w:pPr>
        <w:pStyle w:val="Heading1"/>
      </w:pPr>
      <w:bookmarkStart w:id="1" w:name="O_687852"/>
      <w:bookmarkEnd w:id="1"/>
      <w:r w:rsidRPr="0057680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D0B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0B">
            <w:pPr>
              <w:pStyle w:val="Heading4"/>
              <w:rPr>
                <w:lang w:val="en-NZ"/>
              </w:rPr>
            </w:pPr>
            <w:r w:rsidRPr="0057680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0B">
            <w:pPr>
              <w:pStyle w:val="Heading4"/>
              <w:rPr>
                <w:lang w:val="en-NZ"/>
              </w:rPr>
            </w:pPr>
            <w:r w:rsidRPr="0057680B">
              <w:t>Comment</w:t>
            </w:r>
          </w:p>
        </w:tc>
      </w:tr>
      <w:tr w:rsidTr="000D0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This unit replaces RIIPRE303A Conduct gold room operations</w:t>
            </w:r>
          </w:p>
        </w:tc>
      </w:tr>
      <w:tr w:rsidTr="000D0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80B" w:rsidP="0057680B">
            <w:pPr>
              <w:pStyle w:val="BodyText"/>
            </w:pPr>
            <w:r w:rsidRPr="0057680B">
              <w:t>Required frequency and volume of evidence amended in Performance evidence.</w:t>
            </w:r>
          </w:p>
          <w:p w:rsidR="00000000" w:rsidRPr="0057680B" w:rsidP="0057680B">
            <w:pPr>
              <w:pStyle w:val="BodyText"/>
            </w:pPr>
            <w:r w:rsidRPr="0057680B">
              <w:t>Substantial amendments made in Assessment Conditions field, including: references to Industry Sectors, assessor and subject matter expert experience requirements, how assessment sho</w:t>
            </w:r>
            <w:r w:rsidRPr="0057680B">
              <w:t>uld be conducted and what it should confirm.</w:t>
            </w:r>
          </w:p>
        </w:tc>
      </w:tr>
    </w:tbl>
    <w:p w:rsidR="00000000" w:rsidRPr="0057680B" w:rsidP="0057680B">
      <w:pPr>
        <w:pStyle w:val="BodyText"/>
      </w:pPr>
    </w:p>
    <w:p w:rsidR="00000000" w:rsidRPr="0057680B" w:rsidP="0057680B">
      <w:pPr>
        <w:pStyle w:val="AllowPageBreak"/>
      </w:pPr>
    </w:p>
    <w:p w:rsidR="00000000" w:rsidRPr="0057680B" w:rsidP="0057680B">
      <w:pPr>
        <w:pStyle w:val="Heading1"/>
      </w:pPr>
      <w:bookmarkStart w:id="2" w:name="O_687851"/>
      <w:bookmarkEnd w:id="2"/>
      <w:r w:rsidRPr="0057680B">
        <w:t>Performance Evidence</w:t>
      </w:r>
    </w:p>
    <w:p w:rsidR="00000000" w:rsidRPr="0057680B" w:rsidP="000D0B87">
      <w:pPr>
        <w:pStyle w:val="BodyText"/>
      </w:pPr>
      <w:r w:rsidRPr="0057680B">
        <w:t>Evidence is required to be collected that demonstrates a candidate’s competency in this unit. Evidence must be relevant to the roles within this sector’</w:t>
      </w:r>
      <w:r w:rsidRPr="0057680B">
        <w:t>s work operations and satisfy all of the requirements of the performance criteria of this unit and include evidence that the candidate:</w:t>
      </w:r>
    </w:p>
    <w:p w:rsidR="00000000" w:rsidRPr="0057680B" w:rsidP="0057680B">
      <w:pPr>
        <w:pStyle w:val="ListBullet2"/>
      </w:pPr>
      <w:r w:rsidRPr="0057680B">
        <w:t>locates and applies relevant documentation, policies and procedures</w:t>
      </w:r>
    </w:p>
    <w:p w:rsidR="00000000" w:rsidRPr="0057680B" w:rsidP="0057680B">
      <w:pPr>
        <w:pStyle w:val="ListBullet2"/>
      </w:pPr>
      <w:r w:rsidRPr="0057680B">
        <w:t>implements the requirements, procedures and techniq</w:t>
      </w:r>
      <w:r w:rsidRPr="0057680B">
        <w:t xml:space="preserve">ues for the safe, effective and efficient completion of conducting gold room operations including: </w:t>
      </w:r>
    </w:p>
    <w:p w:rsidR="00000000" w:rsidRPr="0057680B" w:rsidP="0057680B">
      <w:pPr>
        <w:pStyle w:val="ListBullet3"/>
      </w:pPr>
      <w:r w:rsidRPr="0057680B">
        <w:t>identifying and managing hazards correctly</w:t>
      </w:r>
    </w:p>
    <w:p w:rsidR="00000000" w:rsidRPr="0057680B" w:rsidP="0057680B">
      <w:pPr>
        <w:pStyle w:val="ListBullet3"/>
      </w:pPr>
      <w:r w:rsidRPr="0057680B">
        <w:t xml:space="preserve">handling hazardous substances correctly </w:t>
      </w:r>
    </w:p>
    <w:p w:rsidR="00000000" w:rsidRPr="0057680B" w:rsidP="0057680B">
      <w:pPr>
        <w:pStyle w:val="ListBullet3"/>
      </w:pPr>
      <w:r w:rsidRPr="0057680B">
        <w:t>identifying and applying dust suppression and extraction methods</w:t>
      </w:r>
    </w:p>
    <w:p w:rsidR="00000000" w:rsidRPr="0057680B" w:rsidP="0057680B">
      <w:pPr>
        <w:pStyle w:val="ListBullet3"/>
      </w:pPr>
      <w:r w:rsidRPr="0057680B">
        <w:t>identi</w:t>
      </w:r>
      <w:r w:rsidRPr="0057680B">
        <w:t>fying and managing ventilation systems</w:t>
      </w:r>
    </w:p>
    <w:p w:rsidR="00000000" w:rsidRPr="0057680B" w:rsidP="0057680B">
      <w:pPr>
        <w:pStyle w:val="ListBullet"/>
      </w:pPr>
      <w:r w:rsidRPr="0057680B">
        <w:t>demonstrates completion of conducting gold room operations that safely, effectively and efficiently meets all of the required outcomes on more than one (1) occasion including:</w:t>
      </w:r>
    </w:p>
    <w:p w:rsidR="00000000" w:rsidRPr="0057680B" w:rsidP="0057680B">
      <w:pPr>
        <w:pStyle w:val="ListBullet3"/>
      </w:pPr>
      <w:r w:rsidRPr="0057680B">
        <w:t>performing start up in sequence on equipment to meet job requirements</w:t>
      </w:r>
    </w:p>
    <w:p w:rsidR="00000000" w:rsidRPr="0057680B" w:rsidP="0057680B">
      <w:pPr>
        <w:pStyle w:val="ListBullet3"/>
      </w:pPr>
      <w:r w:rsidRPr="0057680B">
        <w:t>operating and monitoring smelting equipment to meet job requirements</w:t>
      </w:r>
    </w:p>
    <w:p w:rsidR="00000000" w:rsidRPr="0057680B" w:rsidP="0057680B">
      <w:pPr>
        <w:pStyle w:val="ListBullet3"/>
      </w:pPr>
      <w:r w:rsidRPr="0057680B">
        <w:t>reading equipment indicators</w:t>
      </w:r>
    </w:p>
    <w:p w:rsidR="00000000" w:rsidRPr="0057680B" w:rsidP="0057680B">
      <w:pPr>
        <w:pStyle w:val="ListBullet3"/>
      </w:pPr>
      <w:r w:rsidRPr="0057680B">
        <w:t>adjusting equipment to maintain optimum output</w:t>
      </w:r>
    </w:p>
    <w:p w:rsidR="00000000" w:rsidRPr="0057680B" w:rsidP="0057680B">
      <w:pPr>
        <w:pStyle w:val="ListBullet3"/>
      </w:pPr>
      <w:r w:rsidRPr="0057680B">
        <w:t>preparing electrowinning products for sme</w:t>
      </w:r>
      <w:r w:rsidRPr="0057680B">
        <w:t>lting</w:t>
      </w:r>
    </w:p>
    <w:p w:rsidR="00000000" w:rsidRPr="0057680B" w:rsidP="0057680B">
      <w:pPr>
        <w:pStyle w:val="ListBullet3"/>
      </w:pPr>
      <w:r w:rsidRPr="0057680B">
        <w:t>shutting down and/or isolating the equipment in sequence</w:t>
      </w:r>
    </w:p>
    <w:p w:rsidR="00000000" w:rsidRPr="0057680B" w:rsidP="0057680B">
      <w:pPr>
        <w:pStyle w:val="ListBullet3"/>
      </w:pPr>
      <w:r w:rsidRPr="0057680B">
        <w:t>performing routines checks on equipment</w:t>
      </w:r>
    </w:p>
    <w:p w:rsidR="00000000" w:rsidRPr="0057680B" w:rsidP="0057680B">
      <w:pPr>
        <w:pStyle w:val="ListBullet3"/>
      </w:pPr>
      <w:r w:rsidRPr="0057680B">
        <w:t>maintaining required documentation and records</w:t>
      </w:r>
    </w:p>
    <w:p w:rsidR="00000000" w:rsidRPr="0057680B" w:rsidP="0057680B">
      <w:pPr>
        <w:pStyle w:val="AllowPageBreak"/>
      </w:pPr>
    </w:p>
    <w:p w:rsidR="00000000" w:rsidRPr="0057680B" w:rsidP="0057680B">
      <w:pPr>
        <w:pStyle w:val="Heading1"/>
      </w:pPr>
      <w:bookmarkStart w:id="3" w:name="O_687850"/>
      <w:bookmarkEnd w:id="3"/>
      <w:r w:rsidRPr="0057680B">
        <w:t>Knowledge Evidence</w:t>
      </w:r>
    </w:p>
    <w:p w:rsidR="00000000" w:rsidRPr="0057680B" w:rsidP="000D0B87">
      <w:pPr>
        <w:pStyle w:val="BodyText"/>
      </w:pPr>
      <w:r w:rsidRPr="0057680B">
        <w:t xml:space="preserve">The candidate must demonstrate knowledge of the following in applying </w:t>
      </w:r>
      <w:r w:rsidRPr="0057680B">
        <w:t>the Conduct gold room operations through:</w:t>
      </w:r>
    </w:p>
    <w:p w:rsidR="00000000" w:rsidRPr="0057680B" w:rsidP="0057680B">
      <w:pPr>
        <w:pStyle w:val="ListBullet2"/>
      </w:pPr>
      <w:r w:rsidRPr="0057680B">
        <w:t>breakdown procedures</w:t>
      </w:r>
    </w:p>
    <w:p w:rsidR="00000000" w:rsidRPr="0057680B" w:rsidP="0057680B">
      <w:pPr>
        <w:pStyle w:val="ListBullet2"/>
      </w:pPr>
      <w:r w:rsidRPr="0057680B">
        <w:t xml:space="preserve">elution process </w:t>
      </w:r>
    </w:p>
    <w:p w:rsidR="00000000" w:rsidRPr="0057680B" w:rsidP="0057680B">
      <w:pPr>
        <w:pStyle w:val="ListBullet2"/>
      </w:pPr>
      <w:r w:rsidRPr="0057680B">
        <w:t xml:space="preserve">smelting process </w:t>
      </w:r>
    </w:p>
    <w:p w:rsidR="00000000" w:rsidRPr="0057680B" w:rsidP="0057680B">
      <w:pPr>
        <w:pStyle w:val="ListBullet2"/>
      </w:pPr>
      <w:r w:rsidRPr="0057680B">
        <w:t>use of fluxes</w:t>
      </w:r>
    </w:p>
    <w:p w:rsidR="00000000" w:rsidRPr="0057680B" w:rsidP="0057680B">
      <w:pPr>
        <w:pStyle w:val="ListBullet2"/>
      </w:pPr>
      <w:r w:rsidRPr="0057680B">
        <w:t>record keeping</w:t>
      </w:r>
    </w:p>
    <w:p w:rsidR="00000000" w:rsidRPr="0057680B" w:rsidP="0057680B">
      <w:pPr>
        <w:pStyle w:val="ListBullet2"/>
      </w:pPr>
      <w:r w:rsidRPr="0057680B">
        <w:t>handling requirements for gold concentrates</w:t>
      </w:r>
    </w:p>
    <w:p w:rsidR="00000000" w:rsidRPr="0057680B" w:rsidP="0057680B">
      <w:pPr>
        <w:pStyle w:val="ListBullet2"/>
      </w:pPr>
      <w:r w:rsidRPr="0057680B">
        <w:t>security requirements for gold processing</w:t>
      </w:r>
    </w:p>
    <w:p w:rsidR="00000000" w:rsidRPr="0057680B" w:rsidP="0057680B">
      <w:pPr>
        <w:pStyle w:val="ListBullet2"/>
      </w:pPr>
      <w:r w:rsidRPr="0057680B">
        <w:t>emergency procedures</w:t>
      </w:r>
    </w:p>
    <w:p w:rsidR="00000000" w:rsidRPr="0057680B" w:rsidP="0057680B">
      <w:pPr>
        <w:pStyle w:val="ListBullet2"/>
      </w:pPr>
      <w:r w:rsidRPr="0057680B">
        <w:t>environmental</w:t>
      </w:r>
      <w:r w:rsidRPr="0057680B">
        <w:t xml:space="preserve"> principles</w:t>
      </w:r>
    </w:p>
    <w:p w:rsidR="00000000" w:rsidRPr="0057680B" w:rsidP="0057680B">
      <w:pPr>
        <w:pStyle w:val="ListBullet2"/>
      </w:pPr>
      <w:r w:rsidRPr="0057680B">
        <w:t>equipment limitations and operating parameters</w:t>
      </w:r>
    </w:p>
    <w:p w:rsidR="00000000" w:rsidRPr="0057680B" w:rsidP="0057680B">
      <w:pPr>
        <w:pStyle w:val="ListBullet2"/>
      </w:pPr>
      <w:r w:rsidRPr="0057680B">
        <w:t>equipment safety requirements</w:t>
      </w:r>
    </w:p>
    <w:p w:rsidR="00000000" w:rsidRPr="0057680B" w:rsidP="0057680B">
      <w:pPr>
        <w:pStyle w:val="ListBullet2"/>
      </w:pPr>
      <w:r w:rsidRPr="0057680B">
        <w:t xml:space="preserve">hazardous substance procedures and consequences of spills </w:t>
      </w:r>
    </w:p>
    <w:p w:rsidR="00000000" w:rsidRPr="0057680B" w:rsidP="0057680B">
      <w:pPr>
        <w:pStyle w:val="ListBullet2"/>
      </w:pPr>
      <w:r w:rsidRPr="0057680B">
        <w:t>identifying repair requirements</w:t>
      </w:r>
    </w:p>
    <w:p w:rsidR="00000000" w:rsidRPr="0057680B" w:rsidP="0057680B">
      <w:pPr>
        <w:pStyle w:val="ListBullet2"/>
      </w:pPr>
      <w:r w:rsidRPr="0057680B">
        <w:t>isolation procedures</w:t>
      </w:r>
    </w:p>
    <w:p w:rsidR="00000000" w:rsidRPr="0057680B" w:rsidP="0057680B">
      <w:pPr>
        <w:pStyle w:val="ListBullet2"/>
      </w:pPr>
      <w:r w:rsidRPr="0057680B">
        <w:t xml:space="preserve">metallurgical and technical data </w:t>
      </w:r>
    </w:p>
    <w:p w:rsidR="00000000" w:rsidRPr="0057680B" w:rsidP="0057680B">
      <w:pPr>
        <w:pStyle w:val="ListBullet2"/>
      </w:pPr>
      <w:r w:rsidRPr="0057680B">
        <w:t>OHS procedures</w:t>
      </w:r>
    </w:p>
    <w:p w:rsidR="00000000" w:rsidRPr="0057680B" w:rsidP="0057680B">
      <w:pPr>
        <w:pStyle w:val="ListBullet2"/>
      </w:pPr>
      <w:r w:rsidRPr="0057680B">
        <w:t>specif</w:t>
      </w:r>
      <w:r w:rsidRPr="0057680B">
        <w:t>ic operational procedures and checks</w:t>
      </w:r>
    </w:p>
    <w:p w:rsidR="00000000" w:rsidRPr="0057680B" w:rsidP="0057680B">
      <w:pPr>
        <w:pStyle w:val="ListBullet2"/>
      </w:pPr>
      <w:r w:rsidRPr="0057680B">
        <w:t xml:space="preserve">pumping systems </w:t>
      </w:r>
    </w:p>
    <w:p w:rsidR="00000000" w:rsidRPr="0057680B" w:rsidP="0057680B">
      <w:pPr>
        <w:pStyle w:val="ListBullet2"/>
      </w:pPr>
      <w:r w:rsidRPr="0057680B">
        <w:t>sampling</w:t>
      </w:r>
    </w:p>
    <w:p w:rsidR="00000000" w:rsidRPr="0057680B" w:rsidP="0057680B">
      <w:pPr>
        <w:pStyle w:val="ListBullet2"/>
      </w:pPr>
      <w:r w:rsidRPr="0057680B">
        <w:t>gold room safety requirements</w:t>
      </w:r>
    </w:p>
    <w:p w:rsidR="00000000" w:rsidRPr="0057680B" w:rsidP="0057680B">
      <w:pPr>
        <w:pStyle w:val="ListBullet2"/>
      </w:pPr>
      <w:r w:rsidRPr="0057680B">
        <w:t xml:space="preserve">types of ores </w:t>
      </w:r>
    </w:p>
    <w:p w:rsidR="00000000" w:rsidRPr="0057680B" w:rsidP="0057680B">
      <w:pPr>
        <w:pStyle w:val="ListBullet2"/>
      </w:pPr>
      <w:r w:rsidRPr="0057680B">
        <w:t>the effects of wet and dry concentrates</w:t>
      </w:r>
    </w:p>
    <w:p w:rsidR="00000000" w:rsidRPr="0057680B" w:rsidP="0057680B">
      <w:pPr>
        <w:pStyle w:val="AllowPageBreak"/>
      </w:pPr>
    </w:p>
    <w:p w:rsidR="00000000" w:rsidRPr="0057680B" w:rsidP="0057680B">
      <w:pPr>
        <w:pStyle w:val="Heading1"/>
      </w:pPr>
      <w:bookmarkStart w:id="4" w:name="O_687849"/>
      <w:bookmarkEnd w:id="4"/>
      <w:r w:rsidRPr="0057680B">
        <w:t>Assessment Conditions</w:t>
      </w:r>
    </w:p>
    <w:p w:rsidR="00000000" w:rsidRPr="0057680B" w:rsidP="0057680B">
      <w:pPr>
        <w:pStyle w:val="ListBullet"/>
      </w:pPr>
      <w:r w:rsidRPr="0057680B">
        <w:t>An assessor of this unit must satisfy the requirement</w:t>
      </w:r>
      <w:r w:rsidRPr="0057680B">
        <w:t xml:space="preserve">s of the NVR/AQTF or their successors; and Industry regulations for certification and licensing; and, </w:t>
      </w:r>
    </w:p>
    <w:p w:rsidR="00000000" w:rsidRPr="0057680B" w:rsidP="0057680B">
      <w:pPr>
        <w:pStyle w:val="ListBullet"/>
      </w:pPr>
      <w:r w:rsidRPr="0057680B">
        <w:t>this unit must be assessed in the context of this sector’s work environment; and,</w:t>
      </w:r>
    </w:p>
    <w:p w:rsidR="00000000" w:rsidRPr="0057680B" w:rsidP="0057680B">
      <w:pPr>
        <w:pStyle w:val="ListBullet"/>
      </w:pPr>
      <w:r w:rsidRPr="0057680B">
        <w:t>this unit must be assessed in compliance with relevant legislation/regu</w:t>
      </w:r>
      <w:r w:rsidRPr="0057680B">
        <w:t>lation and using policies, procedures, processes and operational manuals directly related to the industry sector for which it is being assessed; and,</w:t>
      </w:r>
    </w:p>
    <w:p w:rsidR="00000000" w:rsidRPr="0057680B" w:rsidP="0057680B">
      <w:pPr>
        <w:pStyle w:val="ListBullet"/>
      </w:pPr>
      <w:r w:rsidRPr="0057680B">
        <w:t>assessment may be conducted in conjunction with the assessment of other Units of Competency; and,</w:t>
      </w:r>
    </w:p>
    <w:p w:rsidR="00000000" w:rsidRPr="0057680B" w:rsidP="0057680B">
      <w:pPr>
        <w:pStyle w:val="ListBullet"/>
      </w:pPr>
      <w:r w:rsidRPr="0057680B">
        <w:t>assessme</w:t>
      </w:r>
      <w:r w:rsidRPr="0057680B">
        <w:t>nt must confirm consistent performance can be applied in a range of relevant workplace circumstances; and,</w:t>
      </w:r>
    </w:p>
    <w:p w:rsidR="00000000" w:rsidRPr="0057680B" w:rsidP="0057680B">
      <w:pPr>
        <w:pStyle w:val="ListBullet"/>
      </w:pPr>
      <w:r w:rsidRPr="0057680B">
        <w:t xml:space="preserve">assessors must demonstrate the performance evidence, and knowledge evidence as outlined in this Unit of Competency, and through the minimum years of </w:t>
      </w:r>
      <w:r w:rsidRPr="0057680B">
        <w:t>current* work experience specified below in an Industry sector relevant to the outcomes of the unit; or,</w:t>
      </w:r>
    </w:p>
    <w:p w:rsidR="00000000" w:rsidRPr="0057680B" w:rsidP="0057680B">
      <w:pPr>
        <w:pStyle w:val="ListBullet"/>
      </w:pPr>
      <w:r w:rsidRPr="0057680B">
        <w:t>where the assessor does not meet experience requirements a co-assessment or partnership arrangement must exist between the qualified assessor and an In</w:t>
      </w:r>
      <w:r w:rsidRPr="0057680B">
        <w:t>dustry subject matter expert. The Industry subject matter expert should hold the unit being assessed (or an equivalent unit) and/or demonstrate equivalence of skills and knowledge at the unit level. An Industry technical expert must also demonstrate skills</w:t>
      </w:r>
      <w:r w:rsidRPr="0057680B">
        <w:t xml:space="preserve"> and knowledge from the minimum years of current work experience specified below in the Industry sector, including time spent in roles related to the unit being assessed; and,</w:t>
      </w:r>
    </w:p>
    <w:p w:rsidR="00000000" w:rsidRPr="0057680B" w:rsidP="0057680B">
      <w:pPr>
        <w:pStyle w:val="ListBullet"/>
      </w:pPr>
      <w:r w:rsidRPr="0057680B">
        <w:t>assessor and Industry subject matter expert requirements differ depending on the</w:t>
      </w:r>
      <w:r w:rsidRPr="0057680B">
        <w:t xml:space="preserve">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768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SubHeading1"/>
              <w:rPr>
                <w:lang w:val="en-NZ"/>
              </w:rPr>
            </w:pPr>
            <w:r w:rsidRPr="0057680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SubHeading1"/>
              <w:rPr>
                <w:lang w:val="en-NZ"/>
              </w:rPr>
            </w:pPr>
            <w:r w:rsidRPr="0057680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SubHeading1"/>
              <w:rPr>
                <w:lang w:val="en-NZ"/>
              </w:rPr>
            </w:pPr>
            <w:r w:rsidRPr="0057680B">
              <w:t>Required assessor or Industry subject matter expert experience</w:t>
            </w:r>
          </w:p>
        </w:tc>
      </w:tr>
      <w:tr w:rsidTr="005768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Drilling, Metalliferous Mining, Coal Mining,</w:t>
            </w:r>
            <w:r w:rsidRPr="0057680B">
              <w:t xml:space="preserve">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1 Year</w:t>
            </w:r>
          </w:p>
        </w:tc>
      </w:tr>
      <w:tr w:rsidTr="005768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2 Years</w:t>
            </w:r>
          </w:p>
        </w:tc>
      </w:tr>
      <w:tr w:rsidTr="005768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3 Years</w:t>
            </w:r>
          </w:p>
        </w:tc>
      </w:tr>
      <w:tr w:rsidTr="005768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5 Years</w:t>
            </w:r>
          </w:p>
        </w:tc>
      </w:tr>
      <w:tr w:rsidTr="005768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80B">
            <w:pPr>
              <w:pStyle w:val="BodyText"/>
              <w:rPr>
                <w:lang w:val="en-NZ"/>
              </w:rPr>
            </w:pPr>
            <w:r w:rsidRPr="0057680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80B" w:rsidP="0057680B">
            <w:pPr>
              <w:pStyle w:val="BodyText"/>
            </w:pPr>
            <w:r w:rsidRPr="0057680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7680B">
              <w:t>ndard is specified should comply with any relevant regulation.</w:t>
            </w:r>
          </w:p>
        </w:tc>
      </w:tr>
    </w:tbl>
    <w:p w:rsidR="00000000" w:rsidRPr="0057680B" w:rsidP="000D0B87">
      <w:pPr>
        <w:pStyle w:val="BodyText"/>
      </w:pPr>
      <w:r w:rsidRPr="0057680B">
        <w:t>*Assessors can demonstrate current work experience through employment within Industry in a role relevant to the outcomes of the Unit; or, for external assessors this can be demonstrated throu</w:t>
      </w:r>
      <w:r w:rsidRPr="0057680B">
        <w:t>gh exposure to Industry by conducting frequent site assessments across various locations.</w:t>
      </w:r>
    </w:p>
    <w:p w:rsidR="000D0B87" w:rsidP="000D0B87">
      <w:pPr>
        <w:pStyle w:val="BodyText"/>
      </w:pPr>
      <w:r w:rsidRPr="0057680B">
        <w:t>**Where a unit is being delivered outside of a Qualification the first numeric character in the Unit code should be considered to indicate the AQF level</w:t>
      </w:r>
    </w:p>
    <w:p w:rsidR="00000000" w:rsidRPr="0057680B" w:rsidP="0057680B">
      <w:pPr>
        <w:pStyle w:val="Heading1"/>
      </w:pPr>
      <w:bookmarkStart w:id="5" w:name="O_687862"/>
      <w:bookmarkEnd w:id="5"/>
      <w:r w:rsidRPr="0057680B">
        <w:t>Links</w:t>
      </w:r>
    </w:p>
    <w:p w:rsidR="00000000" w:rsidRPr="0057680B" w:rsidP="000D0B87">
      <w:pPr>
        <w:pStyle w:val="BodyText"/>
      </w:pPr>
      <w:r w:rsidRPr="005768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E61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7680B" w:rsidP="0057680B"/>
    <w:sectPr w:rsidSect="005768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0B" w:rsidRPr="000D0B87" w:rsidP="000D0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87" w:rsidP="00576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B87" w:rsidP="00576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0B87" w:rsidP="00576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80B" w:rsidRPr="000D0B87" w:rsidP="000D0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87" w:rsidRPr="002D2AF8" w:rsidP="00576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RIIPRE303D Conduct gold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D0B87" w:rsidP="00576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D46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B2C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A23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80B"/>
  </w:style>
  <w:style w:type="character" w:customStyle="1" w:styleId="Heading1Char">
    <w:name w:val="Heading 1 Char"/>
    <w:basedOn w:val="DefaultParagraphFont"/>
    <w:link w:val="Heading1"/>
    <w:rsid w:val="00576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80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76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8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68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57680B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5768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6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680B"/>
    <w:rPr>
      <w:b/>
      <w:spacing w:val="0"/>
    </w:rPr>
  </w:style>
  <w:style w:type="paragraph" w:customStyle="1" w:styleId="SuperTitle">
    <w:name w:val="SuperTitle"/>
    <w:basedOn w:val="Title"/>
    <w:rsid w:val="00576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8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80B"/>
    <w:rPr>
      <w:i/>
    </w:rPr>
  </w:style>
  <w:style w:type="paragraph" w:styleId="Caption">
    <w:name w:val="caption"/>
    <w:basedOn w:val="BodyText"/>
    <w:next w:val="Normal"/>
    <w:qFormat/>
    <w:rsid w:val="00576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80B"/>
  </w:style>
  <w:style w:type="paragraph" w:styleId="TableofFigures">
    <w:name w:val="table of figures"/>
    <w:basedOn w:val="Normal"/>
    <w:next w:val="Normal"/>
    <w:semiHidden/>
    <w:rsid w:val="00576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8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680B"/>
    <w:rPr>
      <w:rFonts w:ascii="Wingdings" w:hAnsi="Wingdings"/>
    </w:rPr>
  </w:style>
  <w:style w:type="paragraph" w:customStyle="1" w:styleId="TableHeading">
    <w:name w:val="Table Heading"/>
    <w:basedOn w:val="HeadingBase"/>
    <w:rsid w:val="00576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80B"/>
    <w:rPr>
      <w:color w:val="0033CC"/>
      <w:u w:val="none"/>
    </w:rPr>
  </w:style>
  <w:style w:type="paragraph" w:customStyle="1" w:styleId="BodyTextRight">
    <w:name w:val="Body Text Right"/>
    <w:basedOn w:val="BodyText"/>
    <w:rsid w:val="00576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8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80B"/>
    <w:rPr>
      <w:sz w:val="32"/>
    </w:rPr>
  </w:style>
  <w:style w:type="paragraph" w:customStyle="1" w:styleId="HeadingProcedure">
    <w:name w:val="Heading Procedure"/>
    <w:basedOn w:val="HeadingBase"/>
    <w:next w:val="Normal"/>
    <w:rsid w:val="00576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80B"/>
    <w:pPr>
      <w:spacing w:before="60" w:after="60"/>
    </w:pPr>
  </w:style>
  <w:style w:type="paragraph" w:styleId="ListContinue">
    <w:name w:val="List Continue"/>
    <w:basedOn w:val="List"/>
    <w:rsid w:val="0057680B"/>
    <w:pPr>
      <w:ind w:firstLine="0"/>
    </w:pPr>
  </w:style>
  <w:style w:type="paragraph" w:customStyle="1" w:styleId="ListNote">
    <w:name w:val="List Note"/>
    <w:basedOn w:val="List"/>
    <w:rsid w:val="00576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80B"/>
    <w:rPr>
      <w:rFonts w:ascii="Courier New" w:hAnsi="Courier New"/>
    </w:rPr>
  </w:style>
  <w:style w:type="paragraph" w:customStyle="1" w:styleId="NoteBullet">
    <w:name w:val="Note Bullet"/>
    <w:basedOn w:val="Note"/>
    <w:rsid w:val="00576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80B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576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8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6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80B"/>
    <w:rPr>
      <w:b/>
      <w:smallCaps/>
    </w:rPr>
  </w:style>
  <w:style w:type="paragraph" w:customStyle="1" w:styleId="TableListNumber">
    <w:name w:val="Table List Number"/>
    <w:basedOn w:val="ListNumber"/>
    <w:rsid w:val="00576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80B"/>
    <w:pPr>
      <w:numPr>
        <w:numId w:val="10"/>
      </w:numPr>
    </w:pPr>
  </w:style>
  <w:style w:type="paragraph" w:customStyle="1" w:styleId="ListAlpha2">
    <w:name w:val="List Alpha 2"/>
    <w:basedOn w:val="List2"/>
    <w:rsid w:val="0057680B"/>
    <w:pPr>
      <w:numPr>
        <w:numId w:val="9"/>
      </w:numPr>
    </w:pPr>
  </w:style>
  <w:style w:type="paragraph" w:styleId="List2">
    <w:name w:val="List 2"/>
    <w:basedOn w:val="BodyText"/>
    <w:rsid w:val="00576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8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68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680B"/>
    <w:pPr>
      <w:numPr>
        <w:numId w:val="5"/>
      </w:numPr>
    </w:pPr>
  </w:style>
  <w:style w:type="paragraph" w:styleId="ListContinue2">
    <w:name w:val="List Continue 2"/>
    <w:basedOn w:val="List2"/>
    <w:rsid w:val="0057680B"/>
    <w:pPr>
      <w:ind w:firstLine="0"/>
    </w:pPr>
  </w:style>
  <w:style w:type="paragraph" w:styleId="ListContinue3">
    <w:name w:val="List Continue 3"/>
    <w:basedOn w:val="List3"/>
    <w:rsid w:val="0057680B"/>
    <w:pPr>
      <w:ind w:left="1021" w:firstLine="0"/>
    </w:pPr>
  </w:style>
  <w:style w:type="paragraph" w:styleId="ListContinue4">
    <w:name w:val="List Continue 4"/>
    <w:basedOn w:val="List4"/>
    <w:rsid w:val="0057680B"/>
    <w:pPr>
      <w:ind w:firstLine="0"/>
    </w:pPr>
  </w:style>
  <w:style w:type="paragraph" w:styleId="ListContinue5">
    <w:name w:val="List Continue 5"/>
    <w:basedOn w:val="List5"/>
    <w:rsid w:val="0057680B"/>
    <w:pPr>
      <w:ind w:firstLine="0"/>
    </w:pPr>
  </w:style>
  <w:style w:type="paragraph" w:styleId="ListNumber3">
    <w:name w:val="List Number 3"/>
    <w:basedOn w:val="List3"/>
    <w:rsid w:val="0057680B"/>
    <w:pPr>
      <w:numPr>
        <w:numId w:val="6"/>
      </w:numPr>
    </w:pPr>
  </w:style>
  <w:style w:type="paragraph" w:styleId="ListNumber4">
    <w:name w:val="List Number 4"/>
    <w:basedOn w:val="List4"/>
    <w:rsid w:val="0057680B"/>
    <w:pPr>
      <w:numPr>
        <w:numId w:val="7"/>
      </w:numPr>
    </w:pPr>
  </w:style>
  <w:style w:type="paragraph" w:styleId="ListNumber5">
    <w:name w:val="List Number 5"/>
    <w:basedOn w:val="List5"/>
    <w:rsid w:val="0057680B"/>
    <w:pPr>
      <w:numPr>
        <w:numId w:val="8"/>
      </w:numPr>
    </w:pPr>
  </w:style>
  <w:style w:type="paragraph" w:styleId="BlockText">
    <w:name w:val="Block Text"/>
    <w:basedOn w:val="Normal"/>
    <w:rsid w:val="00576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80B"/>
    <w:rPr>
      <w:sz w:val="16"/>
      <w:vertAlign w:val="superscript"/>
    </w:rPr>
  </w:style>
  <w:style w:type="character" w:customStyle="1" w:styleId="Symbols">
    <w:name w:val="Symbols"/>
    <w:basedOn w:val="DefaultParagraphFont"/>
    <w:rsid w:val="0057680B"/>
    <w:rPr>
      <w:rFonts w:ascii="Symbol" w:hAnsi="Symbol"/>
    </w:rPr>
  </w:style>
  <w:style w:type="character" w:customStyle="1" w:styleId="MenuOptions">
    <w:name w:val="Menu Options"/>
    <w:basedOn w:val="DefaultParagraphFont"/>
    <w:rsid w:val="00576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80B"/>
    <w:rPr>
      <w:b/>
    </w:rPr>
  </w:style>
  <w:style w:type="character" w:customStyle="1" w:styleId="Underlined">
    <w:name w:val="Underlined"/>
    <w:basedOn w:val="DefaultParagraphFont"/>
    <w:rsid w:val="0057680B"/>
    <w:rPr>
      <w:u w:val="single"/>
    </w:rPr>
  </w:style>
  <w:style w:type="paragraph" w:customStyle="1" w:styleId="TableBodyTextRight">
    <w:name w:val="Table Body Text Right"/>
    <w:basedOn w:val="TableBodyText"/>
    <w:rsid w:val="00576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80B"/>
    <w:rPr>
      <w:sz w:val="18"/>
    </w:rPr>
  </w:style>
  <w:style w:type="paragraph" w:customStyle="1" w:styleId="BodySmallRight">
    <w:name w:val="Body Small Right"/>
    <w:basedOn w:val="BodyTextRight"/>
    <w:rsid w:val="0057680B"/>
    <w:rPr>
      <w:sz w:val="18"/>
      <w:szCs w:val="18"/>
    </w:rPr>
  </w:style>
  <w:style w:type="paragraph" w:customStyle="1" w:styleId="MarginEdition">
    <w:name w:val="Margin Edition"/>
    <w:basedOn w:val="MarginNote"/>
    <w:rsid w:val="00576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80B"/>
    <w:rPr>
      <w:sz w:val="2"/>
      <w:szCs w:val="2"/>
    </w:rPr>
  </w:style>
  <w:style w:type="character" w:customStyle="1" w:styleId="Small">
    <w:name w:val="Small"/>
    <w:basedOn w:val="DefaultParagraphFont"/>
    <w:rsid w:val="0057680B"/>
    <w:rPr>
      <w:sz w:val="16"/>
    </w:rPr>
  </w:style>
  <w:style w:type="paragraph" w:customStyle="1" w:styleId="WideTable">
    <w:name w:val="Wide Table"/>
    <w:basedOn w:val="Normal"/>
    <w:rsid w:val="00576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80B"/>
  </w:style>
  <w:style w:type="paragraph" w:styleId="Quote">
    <w:name w:val="Quote"/>
    <w:basedOn w:val="Heading1"/>
    <w:link w:val="QuoteChar"/>
    <w:qFormat/>
    <w:rsid w:val="00576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80B"/>
    <w:pPr>
      <w:pageBreakBefore/>
    </w:pPr>
  </w:style>
  <w:style w:type="paragraph" w:customStyle="1" w:styleId="Border">
    <w:name w:val="Border"/>
    <w:basedOn w:val="Normal"/>
    <w:qFormat/>
    <w:rsid w:val="00576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80B"/>
    <w:rPr>
      <w:u w:val="single"/>
    </w:rPr>
  </w:style>
  <w:style w:type="character" w:customStyle="1" w:styleId="BoldandItalics">
    <w:name w:val="Bold and Italics"/>
    <w:qFormat/>
    <w:rsid w:val="0057680B"/>
    <w:rPr>
      <w:b/>
      <w:i/>
      <w:u w:val="none"/>
    </w:rPr>
  </w:style>
  <w:style w:type="paragraph" w:styleId="BalloonText">
    <w:name w:val="Balloon Text"/>
    <w:basedOn w:val="Normal"/>
    <w:link w:val="BalloonTextChar"/>
    <w:rsid w:val="00576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80B"/>
    <w:pPr>
      <w:spacing w:before="0" w:after="0"/>
    </w:pPr>
  </w:style>
  <w:style w:type="paragraph" w:customStyle="1" w:styleId="BodyTextBold">
    <w:name w:val="Body Text Bold"/>
    <w:basedOn w:val="BodyText"/>
    <w:qFormat/>
    <w:rsid w:val="0057680B"/>
    <w:rPr>
      <w:b/>
    </w:rPr>
  </w:style>
  <w:style w:type="character" w:styleId="Hyperlink">
    <w:name w:val="Hyperlink"/>
    <w:basedOn w:val="DefaultParagraphFont"/>
    <w:uiPriority w:val="99"/>
    <w:unhideWhenUsed/>
    <w:rsid w:val="000D0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4966</Characters>
  <Application>Microsoft Office Word</Application>
  <DocSecurity>0</DocSecurity>
  <Lines>137</Lines>
  <Paragraphs>95</Paragraphs>
  <ScaleCrop>false</ScaleCrop>
  <Company>Author-it Software Corporation Ltd.</Company>
  <LinksUpToDate>false</LinksUpToDate>
  <CharactersWithSpaces>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RIIPRE303D Conduct gold room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2022-10-18T14:56:00Z</dcterms:created>
  <dcterms:modified xsi:type="dcterms:W3CDTF">2022-10-18T14:56:00Z</dcterms:modified>
</cp:coreProperties>
</file>