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135" w:rsidP="00A10135">
      <w:pPr>
        <w:pStyle w:val="Title"/>
      </w:pPr>
      <w:r>
        <w:fldChar w:fldCharType="begin"/>
      </w:r>
      <w:r>
        <w:instrText xml:space="preserve"> TITLE   \* MERGEFORMAT </w:instrText>
      </w:r>
      <w:r>
        <w:fldChar w:fldCharType="separate"/>
      </w:r>
      <w:r>
        <w:t>Assessment Requirements for RIIPRE301D Conduct electrowinning/electro-refining operations</w:t>
      </w:r>
      <w:r>
        <w:fldChar w:fldCharType="end"/>
      </w:r>
    </w:p>
    <w:p w:rsidR="00A10135" w:rsidP="00A10135">
      <w:pPr>
        <w:pStyle w:val="Version"/>
        <w:sectPr w:rsidSect="00E10C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0C76" w:rsidP="00E10C76">
      <w:pPr>
        <w:pStyle w:val="SuperHeading"/>
      </w:pPr>
      <w:r w:rsidRPr="00E10C76">
        <w:t>Assessment Requirements for RIIPRE301D Conduct electrowinning/electro-refining operations</w:t>
      </w:r>
    </w:p>
    <w:p w:rsidR="00000000" w:rsidRPr="00E10C76" w:rsidP="00E10C76">
      <w:pPr>
        <w:pStyle w:val="Heading1"/>
      </w:pPr>
      <w:bookmarkStart w:id="1" w:name="O_687794"/>
      <w:bookmarkEnd w:id="1"/>
      <w:r w:rsidRPr="00E10C76">
        <w:t>Modification History</w:t>
      </w:r>
    </w:p>
    <w:tbl>
      <w:tblPr>
        <w:tblW w:w="0" w:type="auto"/>
        <w:tblCellMar>
          <w:left w:w="62" w:type="dxa"/>
          <w:right w:w="62" w:type="dxa"/>
        </w:tblCellMar>
        <w:tblLook w:val="0000"/>
      </w:tblPr>
      <w:tblGrid>
        <w:gridCol w:w="1107"/>
        <w:gridCol w:w="8089"/>
      </w:tblGrid>
      <w:tr w:rsidTr="00A1013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C76">
            <w:pPr>
              <w:pStyle w:val="Heading4"/>
              <w:rPr>
                <w:lang w:val="en-NZ"/>
              </w:rPr>
            </w:pPr>
            <w:r w:rsidRPr="00E10C7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C76">
            <w:pPr>
              <w:pStyle w:val="Heading4"/>
              <w:rPr>
                <w:lang w:val="en-NZ"/>
              </w:rPr>
            </w:pPr>
            <w:r w:rsidRPr="00E10C76">
              <w:t>Comment</w:t>
            </w:r>
          </w:p>
        </w:tc>
      </w:tr>
      <w:tr w:rsidTr="00A101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C76">
            <w:pPr>
              <w:pStyle w:val="BodyText"/>
              <w:rPr>
                <w:lang w:val="en-NZ"/>
              </w:rPr>
            </w:pPr>
            <w:r w:rsidRPr="00E10C7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C76">
            <w:pPr>
              <w:pStyle w:val="BodyText"/>
              <w:rPr>
                <w:lang w:val="en-NZ"/>
              </w:rPr>
            </w:pPr>
            <w:r w:rsidRPr="00E10C76">
              <w:t>This unit replaces RIIPRE301A Conduct electrowinning/electrorefining operations</w:t>
            </w:r>
          </w:p>
        </w:tc>
      </w:tr>
      <w:tr w:rsidTr="00A101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C76">
            <w:pPr>
              <w:pStyle w:val="BodyText"/>
              <w:rPr>
                <w:lang w:val="en-NZ"/>
              </w:rPr>
            </w:pPr>
            <w:r w:rsidRPr="00E10C7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C76" w:rsidP="00E10C76">
            <w:pPr>
              <w:pStyle w:val="BodyText"/>
            </w:pPr>
            <w:r w:rsidRPr="00E10C76">
              <w:t>Required frequency and volume of evidence amended in Performance evidence.</w:t>
            </w:r>
          </w:p>
          <w:p w:rsidR="00000000" w:rsidRPr="00E10C76" w:rsidP="00E10C76">
            <w:pPr>
              <w:pStyle w:val="BodyText"/>
            </w:pPr>
            <w:r w:rsidRPr="00E10C76">
              <w:t>Substantial amendments made in Assessment Conditions field, including: references to Industry Sectors, assessor and subject matter expert experience requirements, how assessment sho</w:t>
            </w:r>
            <w:r w:rsidRPr="00E10C76">
              <w:t>uld be conducted and what it should confirm.</w:t>
            </w:r>
          </w:p>
        </w:tc>
      </w:tr>
    </w:tbl>
    <w:p w:rsidR="00000000" w:rsidRPr="00E10C76" w:rsidP="00E10C76">
      <w:pPr>
        <w:pStyle w:val="BodyText"/>
      </w:pPr>
    </w:p>
    <w:p w:rsidR="00000000" w:rsidRPr="00E10C76" w:rsidP="00E10C76">
      <w:pPr>
        <w:pStyle w:val="AllowPageBreak"/>
      </w:pPr>
    </w:p>
    <w:p w:rsidR="00000000" w:rsidRPr="00E10C76" w:rsidP="00E10C76">
      <w:pPr>
        <w:pStyle w:val="Heading1"/>
      </w:pPr>
      <w:bookmarkStart w:id="2" w:name="O_687793"/>
      <w:bookmarkEnd w:id="2"/>
      <w:r w:rsidRPr="00E10C76">
        <w:t>Performance Evidence</w:t>
      </w:r>
    </w:p>
    <w:p w:rsidR="00000000" w:rsidRPr="00E10C76" w:rsidP="00A10135">
      <w:pPr>
        <w:pStyle w:val="BodyText"/>
      </w:pPr>
      <w:r w:rsidRPr="00E10C76">
        <w:t>Evidence is required to be collected that demonstrates a candidate’s competency in this unit. Evidence must be relevant to the roles within this sector’</w:t>
      </w:r>
      <w:r w:rsidRPr="00E10C76">
        <w:t>s work operations and satisfy all of the requirements of the performance criteria of this unit and include evidence that the candidate:</w:t>
      </w:r>
    </w:p>
    <w:p w:rsidR="00000000" w:rsidRPr="00E10C76" w:rsidP="00E10C76">
      <w:pPr>
        <w:pStyle w:val="ListBullet2"/>
      </w:pPr>
      <w:r w:rsidRPr="00E10C76">
        <w:t>locates and applies relevant documentation, policies and procedures</w:t>
      </w:r>
    </w:p>
    <w:p w:rsidR="00000000" w:rsidRPr="00E10C76" w:rsidP="00E10C76">
      <w:pPr>
        <w:pStyle w:val="ListBullet2"/>
      </w:pPr>
      <w:r w:rsidRPr="00E10C76">
        <w:t>implements the requirements, procedures and techniq</w:t>
      </w:r>
      <w:r w:rsidRPr="00E10C76">
        <w:t xml:space="preserve">ues for the safe, effective and efficient completion of electrowinning/electro-refining operations including: </w:t>
      </w:r>
    </w:p>
    <w:p w:rsidR="00000000" w:rsidRPr="00E10C76" w:rsidP="00E10C76">
      <w:pPr>
        <w:pStyle w:val="ListBullet3"/>
      </w:pPr>
      <w:r w:rsidRPr="00E10C76">
        <w:t xml:space="preserve">identifying and applying required environmental controls </w:t>
      </w:r>
    </w:p>
    <w:p w:rsidR="00000000" w:rsidRPr="00E10C76" w:rsidP="00E10C76">
      <w:pPr>
        <w:pStyle w:val="ListBullet3"/>
      </w:pPr>
      <w:r w:rsidRPr="00E10C76">
        <w:t>identifying and managing hazards affecting the sinter of materials</w:t>
      </w:r>
    </w:p>
    <w:p w:rsidR="00000000" w:rsidRPr="00E10C76" w:rsidP="00E10C76">
      <w:pPr>
        <w:pStyle w:val="ListBullet3"/>
      </w:pPr>
      <w:r w:rsidRPr="00E10C76">
        <w:t>identifying and app</w:t>
      </w:r>
      <w:r w:rsidRPr="00E10C76">
        <w:t>lying dust suppression and extraction methods</w:t>
      </w:r>
    </w:p>
    <w:p w:rsidR="00000000" w:rsidRPr="00E10C76" w:rsidP="00E10C76">
      <w:pPr>
        <w:pStyle w:val="ListBullet3"/>
      </w:pPr>
      <w:r w:rsidRPr="00E10C76">
        <w:t>handling hazardous substances correctly</w:t>
      </w:r>
    </w:p>
    <w:p w:rsidR="00000000" w:rsidRPr="00E10C76" w:rsidP="00E10C76">
      <w:pPr>
        <w:pStyle w:val="ListBullet3"/>
      </w:pPr>
      <w:r w:rsidRPr="00E10C76">
        <w:t>identifying and applying isolation procedures</w:t>
      </w:r>
    </w:p>
    <w:p w:rsidR="00000000" w:rsidRPr="00E10C76" w:rsidP="00E10C76">
      <w:pPr>
        <w:pStyle w:val="ListBullet"/>
      </w:pPr>
      <w:r w:rsidRPr="00E10C76">
        <w:t>demonstrates completion of electrowinning/electro-refining operations that safely, effectively and efficiently meets all of</w:t>
      </w:r>
      <w:r w:rsidRPr="00E10C76">
        <w:t xml:space="preserve"> the required outcomes on more than one (1) occasion including:</w:t>
      </w:r>
    </w:p>
    <w:p w:rsidR="00000000" w:rsidRPr="00E10C76" w:rsidP="00E10C76">
      <w:pPr>
        <w:pStyle w:val="ListBullet3"/>
      </w:pPr>
      <w:r w:rsidRPr="00E10C76">
        <w:t>performing start up in sequence on equipment to meet job requirements</w:t>
      </w:r>
    </w:p>
    <w:p w:rsidR="00000000" w:rsidRPr="00E10C76" w:rsidP="00E10C76">
      <w:pPr>
        <w:pStyle w:val="ListBullet3"/>
      </w:pPr>
      <w:r w:rsidRPr="00E10C76">
        <w:t>operating plant to meet job requirements</w:t>
      </w:r>
    </w:p>
    <w:p w:rsidR="00000000" w:rsidRPr="00E10C76" w:rsidP="00E10C76">
      <w:pPr>
        <w:pStyle w:val="ListBullet3"/>
      </w:pPr>
      <w:r w:rsidRPr="00E10C76">
        <w:t>reading equipment indicators</w:t>
      </w:r>
    </w:p>
    <w:p w:rsidR="00000000" w:rsidRPr="00E10C76" w:rsidP="00E10C76">
      <w:pPr>
        <w:pStyle w:val="ListBullet3"/>
      </w:pPr>
      <w:r w:rsidRPr="00E10C76">
        <w:t>adjusting equipment to maintain optimum output</w:t>
      </w:r>
    </w:p>
    <w:p w:rsidR="00000000" w:rsidRPr="00E10C76" w:rsidP="00E10C76">
      <w:pPr>
        <w:pStyle w:val="ListBullet3"/>
      </w:pPr>
      <w:r w:rsidRPr="00E10C76">
        <w:t>pulling and stripping plates</w:t>
      </w:r>
    </w:p>
    <w:p w:rsidR="00000000" w:rsidRPr="00E10C76" w:rsidP="00E10C76">
      <w:pPr>
        <w:pStyle w:val="ListBullet3"/>
      </w:pPr>
      <w:r w:rsidRPr="00E10C76">
        <w:t>shutting down and/or isolating the equipment in sequence</w:t>
      </w:r>
    </w:p>
    <w:p w:rsidR="00000000" w:rsidRPr="00E10C76" w:rsidP="00E10C76">
      <w:pPr>
        <w:pStyle w:val="ListBullet3"/>
      </w:pPr>
      <w:r w:rsidRPr="00E10C76">
        <w:t>performing routines checks on equipment</w:t>
      </w:r>
    </w:p>
    <w:p w:rsidR="00000000" w:rsidRPr="00E10C76" w:rsidP="00E10C76">
      <w:pPr>
        <w:pStyle w:val="AllowPageBreak"/>
      </w:pPr>
    </w:p>
    <w:p w:rsidR="00000000" w:rsidRPr="00E10C76" w:rsidP="00E10C76">
      <w:pPr>
        <w:pStyle w:val="Heading1"/>
      </w:pPr>
      <w:bookmarkStart w:id="3" w:name="O_687792"/>
      <w:bookmarkEnd w:id="3"/>
      <w:r w:rsidRPr="00E10C76">
        <w:t>Knowledge Evidence</w:t>
      </w:r>
    </w:p>
    <w:p w:rsidR="00000000" w:rsidRPr="00E10C76" w:rsidP="00A10135">
      <w:pPr>
        <w:pStyle w:val="BodyText"/>
      </w:pPr>
      <w:r w:rsidRPr="00E10C76">
        <w:t>The candidate must demonstrate knowledge of the following when conducting electrowinning/elect</w:t>
      </w:r>
      <w:r w:rsidRPr="00E10C76">
        <w:t>ro-refining operations through:</w:t>
      </w:r>
    </w:p>
    <w:p w:rsidR="00000000" w:rsidRPr="00E10C76" w:rsidP="00E10C76">
      <w:pPr>
        <w:pStyle w:val="ListBullet2"/>
      </w:pPr>
      <w:r w:rsidRPr="00E10C76">
        <w:t>equipment operating parameters and safety requirements</w:t>
      </w:r>
    </w:p>
    <w:p w:rsidR="00000000" w:rsidRPr="00E10C76" w:rsidP="00E10C76">
      <w:pPr>
        <w:pStyle w:val="ListBullet2"/>
      </w:pPr>
      <w:r w:rsidRPr="00E10C76">
        <w:t xml:space="preserve">operational procedures and checks, including equipment inspection and rejection/replacement requirements </w:t>
      </w:r>
    </w:p>
    <w:p w:rsidR="00000000" w:rsidRPr="00E10C76" w:rsidP="00E10C76">
      <w:pPr>
        <w:pStyle w:val="ListBullet2"/>
      </w:pPr>
      <w:r w:rsidRPr="00E10C76">
        <w:t>metallurgical and technical data</w:t>
      </w:r>
    </w:p>
    <w:p w:rsidR="00000000" w:rsidRPr="00E10C76" w:rsidP="00E10C76">
      <w:pPr>
        <w:pStyle w:val="ListBullet2"/>
      </w:pPr>
      <w:r w:rsidRPr="00E10C76">
        <w:t>pumping system and flow charts (pipeline and sprinkler systems)</w:t>
      </w:r>
    </w:p>
    <w:p w:rsidR="00000000" w:rsidRPr="00E10C76" w:rsidP="00E10C76">
      <w:pPr>
        <w:pStyle w:val="AllowPageBreak"/>
      </w:pPr>
    </w:p>
    <w:p w:rsidR="00000000" w:rsidRPr="00E10C76" w:rsidP="00E10C76">
      <w:pPr>
        <w:pStyle w:val="Heading1"/>
      </w:pPr>
      <w:bookmarkStart w:id="4" w:name="O_687791"/>
      <w:bookmarkEnd w:id="4"/>
      <w:r w:rsidRPr="00E10C76">
        <w:t>Assessment Conditions</w:t>
      </w:r>
    </w:p>
    <w:p w:rsidR="00000000" w:rsidRPr="00E10C76" w:rsidP="00E10C76">
      <w:pPr>
        <w:pStyle w:val="ListBullet"/>
      </w:pPr>
      <w:r w:rsidRPr="00E10C76">
        <w:t>An assessor of this unit must satisfy the requirements of the NVR/AQTF or their successors; and Industry regulations for certification and licensing; an</w:t>
      </w:r>
      <w:r w:rsidRPr="00E10C76">
        <w:t xml:space="preserve">d, </w:t>
      </w:r>
    </w:p>
    <w:p w:rsidR="00000000" w:rsidRPr="00E10C76" w:rsidP="00E10C76">
      <w:pPr>
        <w:pStyle w:val="ListBullet"/>
      </w:pPr>
      <w:r w:rsidRPr="00E10C76">
        <w:t>this unit must be assessed in the context of this sector’s work environment; and,</w:t>
      </w:r>
    </w:p>
    <w:p w:rsidR="00000000" w:rsidRPr="00E10C76" w:rsidP="00E10C76">
      <w:pPr>
        <w:pStyle w:val="ListBullet"/>
      </w:pPr>
      <w:r w:rsidRPr="00E10C76">
        <w:t>this unit must be assessed in compliance with relevant legislation/regulation and using policies, procedures, processes and operational manuals directly related to the in</w:t>
      </w:r>
      <w:r w:rsidRPr="00E10C76">
        <w:t>dustry sector for which it is being assessed; and,</w:t>
      </w:r>
    </w:p>
    <w:p w:rsidR="00000000" w:rsidRPr="00E10C76" w:rsidP="00E10C76">
      <w:pPr>
        <w:pStyle w:val="ListBullet"/>
      </w:pPr>
      <w:r w:rsidRPr="00E10C76">
        <w:t>assessment may be conducted in conjunction with the assessment of other Units of Competency; and,</w:t>
      </w:r>
    </w:p>
    <w:p w:rsidR="00000000" w:rsidRPr="00E10C76" w:rsidP="00E10C76">
      <w:pPr>
        <w:pStyle w:val="ListBullet"/>
      </w:pPr>
      <w:r w:rsidRPr="00E10C76">
        <w:t>assessment must confirm consistent performance can be applied in a range of relevant workplace circumstance</w:t>
      </w:r>
      <w:r w:rsidRPr="00E10C76">
        <w:t>s; and,</w:t>
      </w:r>
    </w:p>
    <w:p w:rsidR="00000000" w:rsidRPr="00E10C76" w:rsidP="00E10C76">
      <w:pPr>
        <w:pStyle w:val="ListBullet"/>
      </w:pPr>
      <w:r w:rsidRPr="00E10C76">
        <w:t>assessors must demonstrate the performance evidence, and knowledge evidence as outlined in this Unit of Competency, and through the minimum years of current* work experience specified below in an Industry sector relevant to the outcomes of the unit</w:t>
      </w:r>
      <w:r w:rsidRPr="00E10C76">
        <w:t>; or,</w:t>
      </w:r>
    </w:p>
    <w:p w:rsidR="00000000" w:rsidRPr="00E10C76" w:rsidP="00E10C76">
      <w:pPr>
        <w:pStyle w:val="ListBullet"/>
      </w:pPr>
      <w:r w:rsidRPr="00E10C76">
        <w:t>where the assessor does not meet experience requirements a co-assessment or partnership arrangement must exist between the qualified assessor and an Industry subject matter expert. The Industry subject matter expert should hold the unit being assesse</w:t>
      </w:r>
      <w:r w:rsidRPr="00E10C76">
        <w:t>d (or an equivalent unit) and/or demonstrate equivalence of skills and knowledge at the unit level. An Industry technical expert must also demonstrate skills and knowledge from the minimum years of current work experience specified below in the Industry se</w:t>
      </w:r>
      <w:r w:rsidRPr="00E10C76">
        <w:t>ctor, including time spent in roles related to the unit being assessed; and,</w:t>
      </w:r>
    </w:p>
    <w:p w:rsidR="00000000" w:rsidRPr="00E10C76" w:rsidP="00E10C76">
      <w:pPr>
        <w:pStyle w:val="ListBullet"/>
      </w:pPr>
      <w:r w:rsidRPr="00E10C76">
        <w:t>assessor and Industry subject matter expert requirements differ depending on the Australian Qualifications Framework Level (AQF) of the qualification being assessed and/or Industr</w:t>
      </w:r>
      <w:r w:rsidRPr="00E10C76">
        <w:t>y Sector as follows:</w:t>
      </w:r>
    </w:p>
    <w:tbl>
      <w:tblPr>
        <w:tblW w:w="8896" w:type="dxa"/>
        <w:tblInd w:w="360" w:type="dxa"/>
        <w:tblLayout w:type="fixed"/>
        <w:tblCellMar>
          <w:left w:w="62" w:type="dxa"/>
          <w:right w:w="62" w:type="dxa"/>
        </w:tblCellMar>
        <w:tblLook w:val="0000"/>
      </w:tblPr>
      <w:tblGrid>
        <w:gridCol w:w="4218"/>
        <w:gridCol w:w="1559"/>
        <w:gridCol w:w="3119"/>
      </w:tblGrid>
      <w:tr w:rsidTr="00E10C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SubHeading1"/>
              <w:rPr>
                <w:lang w:val="en-NZ"/>
              </w:rPr>
            </w:pPr>
            <w:r w:rsidRPr="00E10C7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SubHeading1"/>
              <w:rPr>
                <w:lang w:val="en-NZ"/>
              </w:rPr>
            </w:pPr>
            <w:r w:rsidRPr="00E10C7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SubHeading1"/>
              <w:rPr>
                <w:lang w:val="en-NZ"/>
              </w:rPr>
            </w:pPr>
            <w:r w:rsidRPr="00E10C76">
              <w:t>Required assessor or Industry subject matter expert experience</w:t>
            </w:r>
          </w:p>
        </w:tc>
      </w:tr>
      <w:tr w:rsidTr="00E10C7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1 Year</w:t>
            </w:r>
          </w:p>
        </w:tc>
      </w:tr>
      <w:tr w:rsidTr="00E10C7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2 Years</w:t>
            </w:r>
          </w:p>
        </w:tc>
      </w:tr>
      <w:tr w:rsidTr="00E10C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3 Years</w:t>
            </w:r>
          </w:p>
        </w:tc>
      </w:tr>
      <w:tr w:rsidTr="00E10C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5 Years</w:t>
            </w:r>
          </w:p>
        </w:tc>
      </w:tr>
      <w:tr w:rsidTr="00E10C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C76">
            <w:pPr>
              <w:pStyle w:val="BodyText"/>
              <w:rPr>
                <w:lang w:val="en-NZ"/>
              </w:rPr>
            </w:pPr>
            <w:r w:rsidRPr="00E10C7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0C76" w:rsidP="00E10C76">
            <w:pPr>
              <w:pStyle w:val="BodyText"/>
            </w:pPr>
            <w:r w:rsidRPr="00E10C76">
              <w:t>Where this Unit is being assessed outside of the Resources and Infrastructure Sectors assessor and/or Industry subject mat</w:t>
            </w:r>
            <w:r w:rsidRPr="00E10C76">
              <w:t>ter expert experience should be in-line with industry standards for the sector in which it is being assessed and where no Industry standard is specified should comply with any relevant regulation.</w:t>
            </w:r>
          </w:p>
        </w:tc>
      </w:tr>
    </w:tbl>
    <w:p w:rsidR="00000000" w:rsidRPr="00E10C76" w:rsidP="00A10135">
      <w:pPr>
        <w:pStyle w:val="BodyText"/>
      </w:pPr>
      <w:r w:rsidRPr="00E10C76">
        <w:t>*Assessors can demonstrate current work experience through employment within Industry in a role relevant to the outcomes of the Unit; or, for external assessors this can be demonstrated through exposure to Industry by conducting frequent site assessments a</w:t>
      </w:r>
      <w:r w:rsidRPr="00E10C76">
        <w:t>cross various locations.</w:t>
      </w:r>
    </w:p>
    <w:p w:rsidR="00A10135" w:rsidP="00A10135">
      <w:pPr>
        <w:pStyle w:val="BodyText"/>
      </w:pPr>
      <w:r w:rsidRPr="00E10C76">
        <w:t>**Where a unit is being delivered outside of a Qualification the first numeric character in the Unit code should be considered to indicate the AQF level</w:t>
      </w:r>
    </w:p>
    <w:p w:rsidR="00000000" w:rsidRPr="00E10C76" w:rsidP="00E10C76">
      <w:pPr>
        <w:pStyle w:val="Heading1"/>
      </w:pPr>
      <w:bookmarkStart w:id="5" w:name="O_687806"/>
      <w:bookmarkEnd w:id="5"/>
      <w:r w:rsidRPr="00E10C76">
        <w:t>Links</w:t>
      </w:r>
    </w:p>
    <w:p w:rsidR="00000000" w:rsidRPr="00E10C76" w:rsidP="00A10135">
      <w:pPr>
        <w:pStyle w:val="BodyText"/>
      </w:pPr>
      <w:r w:rsidRPr="00E10C76">
        <w:t>Companion Volume implementation guides are found in VE</w:t>
      </w:r>
      <w:r w:rsidRPr="00E10C76">
        <w:t xml:space="preserve">TNet - </w:t>
      </w:r>
      <w:r>
        <w:fldChar w:fldCharType="begin"/>
      </w:r>
      <w:r>
        <w:instrText xml:space="preserve"> HYPERLINK "https://vetnet.gov.au/Pages/TrainingDocs.aspx?q=88a61002-9a21-4386-aaf8-69c76e675272" </w:instrText>
      </w:r>
      <w:r>
        <w:fldChar w:fldCharType="separate"/>
      </w:r>
      <w:r w:rsidRPr="000321B1">
        <w:rPr>
          <w:rStyle w:val="Hyperlink"/>
        </w:rPr>
        <w:t>https://vetnet.gov.au/Pages/TrainingDocs.aspx?q=88a61002-9a21-4386-aaf8-69c76e675272</w:t>
      </w:r>
      <w:r>
        <w:fldChar w:fldCharType="end"/>
      </w:r>
    </w:p>
    <w:p w:rsidR="00000000" w:rsidRPr="00E10C76" w:rsidP="00E10C76"/>
    <w:sectPr w:rsidSect="00E10C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76" w:rsidRPr="00A10135" w:rsidP="00A10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35" w:rsidP="00E10C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0135" w:rsidP="00E10C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10135" w:rsidP="00E10C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C76" w:rsidRPr="00A10135" w:rsidP="00A101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35" w:rsidRPr="002D2AF8" w:rsidP="00E10C76">
    <w:pPr>
      <w:pStyle w:val="Header"/>
      <w:framePr w:wrap="around"/>
    </w:pPr>
    <w:r>
      <w:fldChar w:fldCharType="begin"/>
    </w:r>
    <w:r>
      <w:instrText xml:space="preserve"> TITLE   \* MERGEFORMAT </w:instrText>
    </w:r>
    <w:r>
      <w:fldChar w:fldCharType="separate"/>
    </w:r>
    <w:r>
      <w:t>Assessment Requirements for RIIPRE301D Conduct electrowinning/electro-refining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10135" w:rsidP="00E10C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A06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864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623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C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C76"/>
    <w:pPr>
      <w:spacing w:before="360" w:after="60"/>
      <w:outlineLvl w:val="0"/>
    </w:pPr>
    <w:rPr>
      <w:sz w:val="32"/>
    </w:rPr>
  </w:style>
  <w:style w:type="paragraph" w:styleId="Heading2">
    <w:name w:val="heading 2"/>
    <w:basedOn w:val="HeadingBase"/>
    <w:next w:val="BodyText"/>
    <w:link w:val="Heading2Char"/>
    <w:qFormat/>
    <w:rsid w:val="00E10C76"/>
    <w:pPr>
      <w:keepLines/>
      <w:spacing w:before="240" w:after="120"/>
      <w:outlineLvl w:val="1"/>
    </w:pPr>
    <w:rPr>
      <w:sz w:val="28"/>
      <w:szCs w:val="40"/>
    </w:rPr>
  </w:style>
  <w:style w:type="paragraph" w:styleId="Heading3">
    <w:name w:val="heading 3"/>
    <w:basedOn w:val="HeadingBase"/>
    <w:next w:val="BodyText"/>
    <w:link w:val="Heading3Char"/>
    <w:qFormat/>
    <w:rsid w:val="00E10C76"/>
    <w:pPr>
      <w:spacing w:before="180" w:after="120"/>
      <w:outlineLvl w:val="2"/>
    </w:pPr>
    <w:rPr>
      <w:spacing w:val="-10"/>
      <w:kern w:val="32"/>
    </w:rPr>
  </w:style>
  <w:style w:type="paragraph" w:styleId="Heading4">
    <w:name w:val="heading 4"/>
    <w:basedOn w:val="HeadingBase"/>
    <w:next w:val="BodyText"/>
    <w:link w:val="Heading4Char"/>
    <w:qFormat/>
    <w:rsid w:val="00E10C76"/>
    <w:pPr>
      <w:spacing w:before="160" w:after="120"/>
      <w:outlineLvl w:val="3"/>
    </w:pPr>
    <w:rPr>
      <w:sz w:val="22"/>
    </w:rPr>
  </w:style>
  <w:style w:type="paragraph" w:styleId="Heading5">
    <w:name w:val="heading 5"/>
    <w:basedOn w:val="HeadingBase"/>
    <w:next w:val="Normal"/>
    <w:link w:val="Heading5Char"/>
    <w:qFormat/>
    <w:rsid w:val="00E10C76"/>
    <w:pPr>
      <w:spacing w:before="80"/>
      <w:outlineLvl w:val="4"/>
    </w:pPr>
    <w:rPr>
      <w:color w:val="918585"/>
      <w:sz w:val="20"/>
    </w:rPr>
  </w:style>
  <w:style w:type="paragraph" w:styleId="Heading6">
    <w:name w:val="heading 6"/>
    <w:basedOn w:val="HeadingBase"/>
    <w:next w:val="Normal"/>
    <w:link w:val="Heading6Char"/>
    <w:qFormat/>
    <w:rsid w:val="00E10C76"/>
    <w:pPr>
      <w:spacing w:before="60"/>
      <w:outlineLvl w:val="5"/>
    </w:pPr>
    <w:rPr>
      <w:color w:val="918585"/>
      <w:sz w:val="20"/>
    </w:rPr>
  </w:style>
  <w:style w:type="paragraph" w:styleId="Heading7">
    <w:name w:val="heading 7"/>
    <w:basedOn w:val="Normal"/>
    <w:next w:val="Normal"/>
    <w:link w:val="Heading7Char"/>
    <w:qFormat/>
    <w:rsid w:val="00E10C76"/>
    <w:pPr>
      <w:ind w:left="720"/>
      <w:outlineLvl w:val="6"/>
    </w:pPr>
    <w:rPr>
      <w:i/>
    </w:rPr>
  </w:style>
  <w:style w:type="paragraph" w:styleId="Heading8">
    <w:name w:val="heading 8"/>
    <w:basedOn w:val="Normal"/>
    <w:next w:val="Normal"/>
    <w:link w:val="Heading8Char"/>
    <w:qFormat/>
    <w:rsid w:val="00E10C76"/>
    <w:pPr>
      <w:ind w:left="720"/>
      <w:outlineLvl w:val="7"/>
    </w:pPr>
    <w:rPr>
      <w:i/>
    </w:rPr>
  </w:style>
  <w:style w:type="paragraph" w:styleId="Heading9">
    <w:name w:val="heading 9"/>
    <w:basedOn w:val="Normal"/>
    <w:next w:val="Normal"/>
    <w:link w:val="Heading9Char"/>
    <w:qFormat/>
    <w:rsid w:val="00E10C76"/>
    <w:pPr>
      <w:ind w:left="720"/>
      <w:outlineLvl w:val="8"/>
    </w:pPr>
    <w:rPr>
      <w:i/>
    </w:rPr>
  </w:style>
  <w:style w:type="character" w:default="1" w:styleId="DefaultParagraphFont">
    <w:name w:val="Default Paragraph Font"/>
    <w:uiPriority w:val="1"/>
    <w:unhideWhenUsed/>
    <w:rsid w:val="00E10C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C76"/>
  </w:style>
  <w:style w:type="character" w:customStyle="1" w:styleId="Heading1Char">
    <w:name w:val="Heading 1 Char"/>
    <w:basedOn w:val="DefaultParagraphFont"/>
    <w:link w:val="Heading1"/>
    <w:rsid w:val="00E10C7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0C76"/>
    <w:rPr>
      <w:rFonts w:ascii="Times New Roman" w:eastAsia="Times New Roman" w:hAnsi="Times New Roman" w:cs="Times New Roman"/>
      <w:b/>
      <w:szCs w:val="20"/>
      <w:lang w:eastAsia="en-US"/>
    </w:rPr>
  </w:style>
  <w:style w:type="paragraph" w:styleId="BodyText">
    <w:name w:val="Body Text"/>
    <w:basedOn w:val="Normal"/>
    <w:link w:val="BodyTextChar"/>
    <w:rsid w:val="00E10C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C76"/>
    <w:rPr>
      <w:rFonts w:ascii="Times New Roman" w:eastAsia="Times New Roman" w:hAnsi="Times New Roman" w:cs="Times New Roman"/>
      <w:sz w:val="24"/>
      <w:lang w:eastAsia="en-US"/>
    </w:rPr>
  </w:style>
  <w:style w:type="paragraph" w:styleId="ListBullet">
    <w:name w:val="List Bullet"/>
    <w:basedOn w:val="List"/>
    <w:rsid w:val="00E10C76"/>
    <w:pPr>
      <w:numPr>
        <w:numId w:val="13"/>
      </w:numPr>
      <w:tabs>
        <w:tab w:val="clear" w:pos="340"/>
      </w:tabs>
      <w:spacing w:before="40" w:after="40"/>
    </w:pPr>
  </w:style>
  <w:style w:type="paragraph" w:styleId="ListBullet2">
    <w:name w:val="List Bullet 2"/>
    <w:basedOn w:val="List2"/>
    <w:rsid w:val="00E10C76"/>
    <w:pPr>
      <w:numPr>
        <w:numId w:val="14"/>
      </w:numPr>
      <w:tabs>
        <w:tab w:val="clear" w:pos="680"/>
      </w:tabs>
    </w:pPr>
  </w:style>
  <w:style w:type="paragraph" w:customStyle="1" w:styleId="SuperHeading">
    <w:name w:val="SuperHeading"/>
    <w:basedOn w:val="Normal"/>
    <w:rsid w:val="00E10C76"/>
    <w:pPr>
      <w:spacing w:before="240" w:after="120"/>
      <w:outlineLvl w:val="0"/>
    </w:pPr>
    <w:rPr>
      <w:rFonts w:ascii="Times New Roman" w:hAnsi="Times New Roman"/>
      <w:b/>
      <w:sz w:val="32"/>
    </w:rPr>
  </w:style>
  <w:style w:type="paragraph" w:customStyle="1" w:styleId="AllowPageBreak">
    <w:name w:val="AllowPageBreak"/>
    <w:rsid w:val="00E10C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10C76"/>
    <w:pPr>
      <w:spacing w:before="240" w:after="60"/>
    </w:pPr>
    <w:rPr>
      <w:color w:val="918585"/>
      <w:sz w:val="22"/>
    </w:rPr>
  </w:style>
  <w:style w:type="paragraph" w:styleId="ListBullet3">
    <w:name w:val="List Bullet 3"/>
    <w:basedOn w:val="List3"/>
    <w:rsid w:val="00E10C76"/>
    <w:pPr>
      <w:numPr>
        <w:numId w:val="3"/>
      </w:numPr>
      <w:tabs>
        <w:tab w:val="clear" w:pos="1021"/>
      </w:tabs>
      <w:ind w:left="1037" w:hanging="357"/>
    </w:pPr>
  </w:style>
  <w:style w:type="character" w:customStyle="1" w:styleId="Heading2Char">
    <w:name w:val="Heading 2 Char"/>
    <w:basedOn w:val="DefaultParagraphFont"/>
    <w:link w:val="Heading2"/>
    <w:rsid w:val="00E10C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C7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0C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C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C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C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C76"/>
    <w:rPr>
      <w:rFonts w:ascii="Courier New" w:eastAsia="Times New Roman" w:hAnsi="Courier New" w:cs="Times New Roman"/>
      <w:i/>
      <w:szCs w:val="20"/>
      <w:lang w:eastAsia="en-US"/>
    </w:rPr>
  </w:style>
  <w:style w:type="paragraph" w:customStyle="1" w:styleId="HeadingBase">
    <w:name w:val="Heading Base"/>
    <w:rsid w:val="00E10C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C76"/>
    <w:pPr>
      <w:tabs>
        <w:tab w:val="right" w:leader="dot" w:pos="9072"/>
      </w:tabs>
      <w:ind w:left="567"/>
    </w:pPr>
    <w:rPr>
      <w:szCs w:val="22"/>
    </w:rPr>
  </w:style>
  <w:style w:type="paragraph" w:customStyle="1" w:styleId="TOCBase">
    <w:name w:val="TOC Base"/>
    <w:rsid w:val="00E10C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C76"/>
    <w:pPr>
      <w:tabs>
        <w:tab w:val="right" w:leader="dot" w:pos="9072"/>
      </w:tabs>
      <w:spacing w:before="40" w:after="40"/>
      <w:ind w:left="284"/>
    </w:pPr>
    <w:rPr>
      <w:rFonts w:ascii="Times New Roman" w:hAnsi="Times New Roman"/>
    </w:rPr>
  </w:style>
  <w:style w:type="paragraph" w:styleId="TOC1">
    <w:name w:val="toc 1"/>
    <w:basedOn w:val="TOCBase"/>
    <w:next w:val="Normal"/>
    <w:rsid w:val="00E10C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C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C76"/>
    <w:rPr>
      <w:rFonts w:ascii="Times New Roman" w:eastAsia="Times New Roman" w:hAnsi="Times New Roman" w:cs="Times New Roman"/>
      <w:sz w:val="16"/>
      <w:lang w:eastAsia="en-US"/>
    </w:rPr>
  </w:style>
  <w:style w:type="paragraph" w:styleId="Title">
    <w:name w:val="Title"/>
    <w:basedOn w:val="HeadingBase"/>
    <w:link w:val="TitleChar"/>
    <w:qFormat/>
    <w:rsid w:val="00E10C76"/>
    <w:pPr>
      <w:spacing w:before="5040"/>
      <w:jc w:val="center"/>
    </w:pPr>
    <w:rPr>
      <w:sz w:val="48"/>
      <w:szCs w:val="72"/>
      <w:lang w:val="en-US"/>
    </w:rPr>
  </w:style>
  <w:style w:type="character" w:customStyle="1" w:styleId="TitleChar">
    <w:name w:val="Title Char"/>
    <w:basedOn w:val="DefaultParagraphFont"/>
    <w:link w:val="Title"/>
    <w:rsid w:val="00E10C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C76"/>
    <w:pPr>
      <w:tabs>
        <w:tab w:val="left" w:pos="3600"/>
        <w:tab w:val="left" w:pos="3958"/>
      </w:tabs>
    </w:pPr>
  </w:style>
  <w:style w:type="paragraph" w:styleId="List">
    <w:name w:val="List"/>
    <w:basedOn w:val="BodyText"/>
    <w:next w:val="BodyText"/>
    <w:rsid w:val="00E10C76"/>
    <w:pPr>
      <w:tabs>
        <w:tab w:val="left" w:pos="340"/>
      </w:tabs>
      <w:spacing w:before="60" w:after="60"/>
      <w:ind w:left="340" w:hanging="340"/>
    </w:pPr>
  </w:style>
  <w:style w:type="paragraph" w:customStyle="1" w:styleId="Note">
    <w:name w:val="Note"/>
    <w:basedOn w:val="BodyText"/>
    <w:rsid w:val="00E10C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0C76"/>
    <w:rPr>
      <w:b/>
      <w:spacing w:val="0"/>
    </w:rPr>
  </w:style>
  <w:style w:type="paragraph" w:customStyle="1" w:styleId="SuperTitle">
    <w:name w:val="SuperTitle"/>
    <w:basedOn w:val="Title"/>
    <w:rsid w:val="00E10C76"/>
    <w:pPr>
      <w:framePr w:wrap="auto" w:hAnchor="text" w:y="6049"/>
    </w:pPr>
    <w:rPr>
      <w:color w:val="000000"/>
      <w:sz w:val="40"/>
    </w:rPr>
  </w:style>
  <w:style w:type="paragraph" w:customStyle="1" w:styleId="TOCTitle">
    <w:name w:val="TOCTitle"/>
    <w:basedOn w:val="Heading1"/>
    <w:rsid w:val="00E10C76"/>
    <w:pPr>
      <w:spacing w:after="240"/>
      <w:jc w:val="center"/>
      <w:outlineLvl w:val="9"/>
    </w:pPr>
    <w:rPr>
      <w:caps/>
    </w:rPr>
  </w:style>
  <w:style w:type="paragraph" w:customStyle="1" w:styleId="Version">
    <w:name w:val="Version"/>
    <w:rsid w:val="00E10C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C76"/>
    <w:pPr>
      <w:keepNext w:val="0"/>
      <w:tabs>
        <w:tab w:val="right" w:pos="4176"/>
      </w:tabs>
      <w:ind w:left="198" w:hanging="198"/>
    </w:pPr>
    <w:rPr>
      <w:rFonts w:ascii="Garamond" w:hAnsi="Garamond"/>
    </w:rPr>
  </w:style>
  <w:style w:type="paragraph" w:styleId="IndexHeading">
    <w:name w:val="index heading"/>
    <w:basedOn w:val="Normal"/>
    <w:next w:val="Index1"/>
    <w:semiHidden/>
    <w:rsid w:val="00E10C76"/>
    <w:pPr>
      <w:spacing w:before="120" w:after="120"/>
    </w:pPr>
    <w:rPr>
      <w:rFonts w:ascii="Arial" w:hAnsi="Arial"/>
      <w:b/>
      <w:color w:val="918585"/>
      <w:sz w:val="24"/>
    </w:rPr>
  </w:style>
  <w:style w:type="paragraph" w:styleId="Header">
    <w:name w:val="header"/>
    <w:basedOn w:val="Normal"/>
    <w:link w:val="HeaderChar"/>
    <w:rsid w:val="00E10C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C76"/>
    <w:rPr>
      <w:rFonts w:ascii="Times New Roman" w:eastAsia="Times New Roman" w:hAnsi="Times New Roman" w:cs="Times New Roman"/>
      <w:sz w:val="16"/>
      <w:szCs w:val="20"/>
      <w:lang w:val="en-GB" w:eastAsia="en-US"/>
    </w:rPr>
  </w:style>
  <w:style w:type="paragraph" w:customStyle="1" w:styleId="Chapter">
    <w:name w:val="Chapter"/>
    <w:basedOn w:val="Normal"/>
    <w:rsid w:val="00E10C76"/>
    <w:pPr>
      <w:spacing w:before="240"/>
    </w:pPr>
    <w:rPr>
      <w:rFonts w:ascii="Times New Roman" w:hAnsi="Times New Roman"/>
      <w:smallCaps/>
      <w:spacing w:val="80"/>
      <w:sz w:val="28"/>
    </w:rPr>
  </w:style>
  <w:style w:type="paragraph" w:customStyle="1" w:styleId="InChapter">
    <w:name w:val="InChapter"/>
    <w:basedOn w:val="Heading3"/>
    <w:rsid w:val="00E10C76"/>
    <w:pPr>
      <w:spacing w:after="240"/>
      <w:outlineLvl w:val="9"/>
    </w:pPr>
    <w:rPr>
      <w:noProof/>
    </w:rPr>
  </w:style>
  <w:style w:type="paragraph" w:styleId="Index2">
    <w:name w:val="index 2"/>
    <w:basedOn w:val="Normal"/>
    <w:next w:val="Normal"/>
    <w:semiHidden/>
    <w:rsid w:val="00E10C76"/>
    <w:pPr>
      <w:tabs>
        <w:tab w:val="right" w:pos="4176"/>
      </w:tabs>
      <w:ind w:left="568" w:hanging="284"/>
    </w:pPr>
    <w:rPr>
      <w:rFonts w:ascii="Garamond" w:hAnsi="Garamond"/>
    </w:rPr>
  </w:style>
  <w:style w:type="paragraph" w:customStyle="1" w:styleId="Byline">
    <w:name w:val="Byline"/>
    <w:rsid w:val="00E10C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C76"/>
    <w:pPr>
      <w:tabs>
        <w:tab w:val="clear" w:pos="3600"/>
        <w:tab w:val="clear" w:pos="3958"/>
      </w:tabs>
      <w:jc w:val="right"/>
    </w:pPr>
  </w:style>
  <w:style w:type="character" w:styleId="Emphasis">
    <w:name w:val="Emphasis"/>
    <w:basedOn w:val="DefaultParagraphFont"/>
    <w:qFormat/>
    <w:rsid w:val="00E10C76"/>
    <w:rPr>
      <w:i/>
    </w:rPr>
  </w:style>
  <w:style w:type="paragraph" w:styleId="Caption">
    <w:name w:val="caption"/>
    <w:basedOn w:val="BodyText"/>
    <w:next w:val="Normal"/>
    <w:qFormat/>
    <w:rsid w:val="00E10C76"/>
    <w:pPr>
      <w:framePr w:w="2268" w:hSpace="181" w:vSpace="181" w:wrap="around" w:vAnchor="text" w:hAnchor="page" w:x="1135" w:y="285" w:anchorLock="1"/>
    </w:pPr>
    <w:rPr>
      <w:i/>
    </w:rPr>
  </w:style>
  <w:style w:type="paragraph" w:customStyle="1" w:styleId="MiniTOCTitle">
    <w:name w:val="MiniTOCTitle"/>
    <w:basedOn w:val="Heading4"/>
    <w:rsid w:val="00E10C76"/>
    <w:pPr>
      <w:spacing w:before="240"/>
      <w:outlineLvl w:val="9"/>
    </w:pPr>
    <w:rPr>
      <w:noProof/>
      <w:sz w:val="24"/>
    </w:rPr>
  </w:style>
  <w:style w:type="paragraph" w:customStyle="1" w:styleId="MiniTOCItem">
    <w:name w:val="MiniTOCItem"/>
    <w:basedOn w:val="ListBullet"/>
    <w:rsid w:val="00E10C76"/>
    <w:pPr>
      <w:numPr>
        <w:numId w:val="0"/>
      </w:numPr>
      <w:tabs>
        <w:tab w:val="right" w:leader="dot" w:pos="6521"/>
      </w:tabs>
      <w:spacing w:before="0" w:after="0"/>
    </w:pPr>
  </w:style>
  <w:style w:type="paragraph" w:customStyle="1" w:styleId="TOFTitle">
    <w:name w:val="TOFTitle"/>
    <w:basedOn w:val="TOCTitle"/>
    <w:rsid w:val="00E10C76"/>
  </w:style>
  <w:style w:type="paragraph" w:styleId="TableofFigures">
    <w:name w:val="table of figures"/>
    <w:basedOn w:val="Normal"/>
    <w:next w:val="Normal"/>
    <w:semiHidden/>
    <w:rsid w:val="00E10C76"/>
    <w:pPr>
      <w:tabs>
        <w:tab w:val="right" w:leader="dot" w:pos="9072"/>
      </w:tabs>
      <w:ind w:left="970" w:hanging="403"/>
    </w:pPr>
    <w:rPr>
      <w:rFonts w:ascii="Times New Roman" w:hAnsi="Times New Roman"/>
      <w:b/>
    </w:rPr>
  </w:style>
  <w:style w:type="paragraph" w:styleId="ListNumber">
    <w:name w:val="List Number"/>
    <w:basedOn w:val="List"/>
    <w:rsid w:val="00E10C76"/>
    <w:pPr>
      <w:numPr>
        <w:numId w:val="16"/>
      </w:numPr>
      <w:tabs>
        <w:tab w:val="clear" w:pos="340"/>
      </w:tabs>
    </w:pPr>
  </w:style>
  <w:style w:type="character" w:customStyle="1" w:styleId="WingdingSymbols">
    <w:name w:val="Wingding Symbols"/>
    <w:rsid w:val="00E10C76"/>
    <w:rPr>
      <w:rFonts w:ascii="Wingdings" w:hAnsi="Wingdings"/>
    </w:rPr>
  </w:style>
  <w:style w:type="paragraph" w:customStyle="1" w:styleId="TableHeading">
    <w:name w:val="Table Heading"/>
    <w:basedOn w:val="HeadingBase"/>
    <w:rsid w:val="00E10C76"/>
    <w:pPr>
      <w:keepLines/>
      <w:pBdr>
        <w:bottom w:val="single" w:sz="6" w:space="1" w:color="918585"/>
      </w:pBdr>
      <w:spacing w:before="240"/>
    </w:pPr>
  </w:style>
  <w:style w:type="character" w:customStyle="1" w:styleId="HotSpot">
    <w:name w:val="HotSpot"/>
    <w:rsid w:val="00E10C76"/>
    <w:rPr>
      <w:color w:val="0033CC"/>
      <w:u w:val="none"/>
    </w:rPr>
  </w:style>
  <w:style w:type="paragraph" w:customStyle="1" w:styleId="BodyTextRight">
    <w:name w:val="Body Text Right"/>
    <w:basedOn w:val="BodyText"/>
    <w:rsid w:val="00E10C76"/>
    <w:pPr>
      <w:spacing w:before="0" w:after="0"/>
      <w:jc w:val="right"/>
    </w:pPr>
  </w:style>
  <w:style w:type="paragraph" w:styleId="Index3">
    <w:name w:val="index 3"/>
    <w:basedOn w:val="ListNumber2"/>
    <w:next w:val="Normal"/>
    <w:semiHidden/>
    <w:rsid w:val="00E10C76"/>
    <w:pPr>
      <w:numPr>
        <w:numId w:val="0"/>
      </w:numPr>
      <w:tabs>
        <w:tab w:val="right" w:leader="dot" w:pos="4176"/>
      </w:tabs>
    </w:pPr>
  </w:style>
  <w:style w:type="paragraph" w:styleId="ListNumber2">
    <w:name w:val="List Number 2"/>
    <w:basedOn w:val="List2"/>
    <w:rsid w:val="00E10C76"/>
    <w:pPr>
      <w:numPr>
        <w:numId w:val="11"/>
      </w:numPr>
      <w:tabs>
        <w:tab w:val="clear" w:pos="1060"/>
      </w:tabs>
    </w:pPr>
  </w:style>
  <w:style w:type="paragraph" w:customStyle="1" w:styleId="MarginNote">
    <w:name w:val="Margin Note"/>
    <w:basedOn w:val="BodyText"/>
    <w:rsid w:val="00E10C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C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C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C76"/>
    <w:rPr>
      <w:sz w:val="32"/>
    </w:rPr>
  </w:style>
  <w:style w:type="paragraph" w:customStyle="1" w:styleId="HeadingProcedure">
    <w:name w:val="Heading Procedure"/>
    <w:basedOn w:val="HeadingBase"/>
    <w:next w:val="Normal"/>
    <w:rsid w:val="00E10C76"/>
    <w:pPr>
      <w:tabs>
        <w:tab w:val="left" w:pos="0"/>
      </w:tabs>
      <w:spacing w:before="120" w:after="60"/>
    </w:pPr>
    <w:rPr>
      <w:i/>
      <w:color w:val="918585"/>
      <w:sz w:val="22"/>
    </w:rPr>
  </w:style>
  <w:style w:type="paragraph" w:customStyle="1" w:styleId="TableBodyText">
    <w:name w:val="Table Body Text"/>
    <w:basedOn w:val="BodyText"/>
    <w:rsid w:val="00E10C76"/>
    <w:pPr>
      <w:spacing w:before="60" w:after="60"/>
    </w:pPr>
  </w:style>
  <w:style w:type="paragraph" w:styleId="ListContinue">
    <w:name w:val="List Continue"/>
    <w:basedOn w:val="List"/>
    <w:rsid w:val="00E10C76"/>
    <w:pPr>
      <w:ind w:firstLine="0"/>
    </w:pPr>
  </w:style>
  <w:style w:type="paragraph" w:customStyle="1" w:styleId="ListNote">
    <w:name w:val="List Note"/>
    <w:basedOn w:val="List"/>
    <w:rsid w:val="00E10C76"/>
    <w:pPr>
      <w:pBdr>
        <w:top w:val="single" w:sz="6" w:space="2" w:color="918585"/>
        <w:bottom w:val="single" w:sz="6" w:space="2" w:color="918585"/>
      </w:pBdr>
      <w:tabs>
        <w:tab w:val="left" w:pos="1021"/>
      </w:tabs>
      <w:ind w:firstLine="0"/>
    </w:pPr>
  </w:style>
  <w:style w:type="paragraph" w:customStyle="1" w:styleId="Warning">
    <w:name w:val="Warning"/>
    <w:basedOn w:val="BodyText"/>
    <w:rsid w:val="00E10C76"/>
    <w:pPr>
      <w:shd w:val="clear" w:color="auto" w:fill="D9D9D9"/>
      <w:tabs>
        <w:tab w:val="left" w:pos="992"/>
      </w:tabs>
      <w:ind w:left="119" w:right="119"/>
    </w:pPr>
    <w:rPr>
      <w:sz w:val="20"/>
    </w:rPr>
  </w:style>
  <w:style w:type="paragraph" w:customStyle="1" w:styleId="MarginIcons">
    <w:name w:val="Margin Icons"/>
    <w:basedOn w:val="BodyText"/>
    <w:rsid w:val="00E10C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C76"/>
    <w:rPr>
      <w:rFonts w:ascii="Courier New" w:hAnsi="Courier New"/>
    </w:rPr>
  </w:style>
  <w:style w:type="paragraph" w:customStyle="1" w:styleId="NoteBullet">
    <w:name w:val="Note Bullet"/>
    <w:basedOn w:val="Note"/>
    <w:rsid w:val="00E10C76"/>
    <w:pPr>
      <w:tabs>
        <w:tab w:val="clear" w:pos="680"/>
      </w:tabs>
      <w:spacing w:before="60" w:after="60"/>
    </w:pPr>
  </w:style>
  <w:style w:type="paragraph" w:customStyle="1" w:styleId="SubHeading2">
    <w:name w:val="SubHeading2"/>
    <w:basedOn w:val="HeadingBase"/>
    <w:rsid w:val="00E10C76"/>
    <w:pPr>
      <w:spacing w:before="240" w:after="60"/>
    </w:pPr>
    <w:rPr>
      <w:sz w:val="20"/>
    </w:rPr>
  </w:style>
  <w:style w:type="paragraph" w:customStyle="1" w:styleId="SideHeading">
    <w:name w:val="Side Heading"/>
    <w:basedOn w:val="HeadingBase"/>
    <w:rsid w:val="00E10C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C76"/>
    <w:pPr>
      <w:numPr>
        <w:numId w:val="12"/>
      </w:numPr>
    </w:pPr>
  </w:style>
  <w:style w:type="paragraph" w:styleId="PlainText">
    <w:name w:val="Plain Text"/>
    <w:basedOn w:val="Normal"/>
    <w:link w:val="PlainTextChar"/>
    <w:rsid w:val="00E10C76"/>
    <w:rPr>
      <w:sz w:val="20"/>
    </w:rPr>
  </w:style>
  <w:style w:type="character" w:customStyle="1" w:styleId="PlainTextChar">
    <w:name w:val="Plain Text Char"/>
    <w:basedOn w:val="DefaultParagraphFont"/>
    <w:link w:val="PlainText"/>
    <w:rsid w:val="00E10C76"/>
    <w:rPr>
      <w:rFonts w:ascii="Courier New" w:eastAsia="Times New Roman" w:hAnsi="Courier New" w:cs="Times New Roman"/>
      <w:sz w:val="20"/>
      <w:szCs w:val="20"/>
      <w:lang w:eastAsia="en-US"/>
    </w:rPr>
  </w:style>
  <w:style w:type="character" w:customStyle="1" w:styleId="MenuOption">
    <w:name w:val="Menu Option"/>
    <w:basedOn w:val="DefaultParagraphFont"/>
    <w:rsid w:val="00E10C76"/>
    <w:rPr>
      <w:b/>
      <w:smallCaps/>
    </w:rPr>
  </w:style>
  <w:style w:type="paragraph" w:customStyle="1" w:styleId="TableListNumber">
    <w:name w:val="Table List Number"/>
    <w:basedOn w:val="ListNumber"/>
    <w:rsid w:val="00E10C76"/>
    <w:pPr>
      <w:numPr>
        <w:numId w:val="0"/>
      </w:numPr>
    </w:pPr>
  </w:style>
  <w:style w:type="paragraph" w:styleId="TOC4">
    <w:name w:val="toc 4"/>
    <w:basedOn w:val="TOCBase"/>
    <w:next w:val="Normal"/>
    <w:semiHidden/>
    <w:rsid w:val="00E10C76"/>
    <w:pPr>
      <w:tabs>
        <w:tab w:val="right" w:leader="dot" w:pos="9071"/>
      </w:tabs>
      <w:ind w:left="1701"/>
    </w:pPr>
  </w:style>
  <w:style w:type="paragraph" w:customStyle="1" w:styleId="ListAlpha">
    <w:name w:val="List Alpha"/>
    <w:basedOn w:val="List"/>
    <w:rsid w:val="00E10C76"/>
    <w:pPr>
      <w:numPr>
        <w:numId w:val="10"/>
      </w:numPr>
    </w:pPr>
  </w:style>
  <w:style w:type="paragraph" w:customStyle="1" w:styleId="ListAlpha2">
    <w:name w:val="List Alpha 2"/>
    <w:basedOn w:val="List2"/>
    <w:rsid w:val="00E10C76"/>
    <w:pPr>
      <w:numPr>
        <w:numId w:val="9"/>
      </w:numPr>
    </w:pPr>
  </w:style>
  <w:style w:type="paragraph" w:styleId="List2">
    <w:name w:val="List 2"/>
    <w:basedOn w:val="BodyText"/>
    <w:rsid w:val="00E10C76"/>
    <w:pPr>
      <w:tabs>
        <w:tab w:val="left" w:pos="680"/>
      </w:tabs>
      <w:spacing w:before="60" w:after="60"/>
      <w:ind w:left="680" w:hanging="340"/>
    </w:pPr>
  </w:style>
  <w:style w:type="paragraph" w:styleId="List3">
    <w:name w:val="List 3"/>
    <w:basedOn w:val="BodyText"/>
    <w:rsid w:val="00E10C76"/>
    <w:pPr>
      <w:tabs>
        <w:tab w:val="left" w:pos="1021"/>
      </w:tabs>
      <w:spacing w:before="60" w:after="60"/>
      <w:ind w:left="1020" w:hanging="340"/>
    </w:pPr>
  </w:style>
  <w:style w:type="paragraph" w:styleId="List4">
    <w:name w:val="List 4"/>
    <w:basedOn w:val="BodyText"/>
    <w:rsid w:val="00E10C76"/>
    <w:pPr>
      <w:tabs>
        <w:tab w:val="left" w:pos="1361"/>
      </w:tabs>
      <w:spacing w:before="60" w:after="60"/>
      <w:ind w:left="1361" w:hanging="340"/>
    </w:pPr>
  </w:style>
  <w:style w:type="paragraph" w:styleId="List5">
    <w:name w:val="List 5"/>
    <w:basedOn w:val="BodyText"/>
    <w:rsid w:val="00E10C76"/>
    <w:pPr>
      <w:tabs>
        <w:tab w:val="left" w:pos="1701"/>
      </w:tabs>
      <w:spacing w:before="60" w:after="60"/>
      <w:ind w:left="1701" w:hanging="340"/>
    </w:pPr>
  </w:style>
  <w:style w:type="paragraph" w:styleId="ListBullet4">
    <w:name w:val="List Bullet 4"/>
    <w:basedOn w:val="List4"/>
    <w:rsid w:val="00E10C76"/>
    <w:pPr>
      <w:numPr>
        <w:numId w:val="4"/>
      </w:numPr>
      <w:tabs>
        <w:tab w:val="clear" w:pos="1361"/>
      </w:tabs>
    </w:pPr>
  </w:style>
  <w:style w:type="paragraph" w:styleId="ListBullet5">
    <w:name w:val="List Bullet 5"/>
    <w:basedOn w:val="List5"/>
    <w:rsid w:val="00E10C76"/>
    <w:pPr>
      <w:numPr>
        <w:numId w:val="5"/>
      </w:numPr>
    </w:pPr>
  </w:style>
  <w:style w:type="paragraph" w:styleId="ListContinue2">
    <w:name w:val="List Continue 2"/>
    <w:basedOn w:val="List2"/>
    <w:rsid w:val="00E10C76"/>
    <w:pPr>
      <w:ind w:firstLine="0"/>
    </w:pPr>
  </w:style>
  <w:style w:type="paragraph" w:styleId="ListContinue3">
    <w:name w:val="List Continue 3"/>
    <w:basedOn w:val="List3"/>
    <w:rsid w:val="00E10C76"/>
    <w:pPr>
      <w:ind w:left="1021" w:firstLine="0"/>
    </w:pPr>
  </w:style>
  <w:style w:type="paragraph" w:styleId="ListContinue4">
    <w:name w:val="List Continue 4"/>
    <w:basedOn w:val="List4"/>
    <w:rsid w:val="00E10C76"/>
    <w:pPr>
      <w:ind w:firstLine="0"/>
    </w:pPr>
  </w:style>
  <w:style w:type="paragraph" w:styleId="ListContinue5">
    <w:name w:val="List Continue 5"/>
    <w:basedOn w:val="List5"/>
    <w:rsid w:val="00E10C76"/>
    <w:pPr>
      <w:ind w:firstLine="0"/>
    </w:pPr>
  </w:style>
  <w:style w:type="paragraph" w:styleId="ListNumber3">
    <w:name w:val="List Number 3"/>
    <w:basedOn w:val="List3"/>
    <w:rsid w:val="00E10C76"/>
    <w:pPr>
      <w:numPr>
        <w:numId w:val="6"/>
      </w:numPr>
    </w:pPr>
  </w:style>
  <w:style w:type="paragraph" w:styleId="ListNumber4">
    <w:name w:val="List Number 4"/>
    <w:basedOn w:val="List4"/>
    <w:rsid w:val="00E10C76"/>
    <w:pPr>
      <w:numPr>
        <w:numId w:val="7"/>
      </w:numPr>
    </w:pPr>
  </w:style>
  <w:style w:type="paragraph" w:styleId="ListNumber5">
    <w:name w:val="List Number 5"/>
    <w:basedOn w:val="List5"/>
    <w:rsid w:val="00E10C76"/>
    <w:pPr>
      <w:numPr>
        <w:numId w:val="8"/>
      </w:numPr>
    </w:pPr>
  </w:style>
  <w:style w:type="paragraph" w:styleId="BlockText">
    <w:name w:val="Block Text"/>
    <w:basedOn w:val="Normal"/>
    <w:rsid w:val="00E10C76"/>
    <w:pPr>
      <w:spacing w:after="120"/>
      <w:ind w:left="1440" w:right="1440"/>
    </w:pPr>
  </w:style>
  <w:style w:type="character" w:customStyle="1" w:styleId="Subscript">
    <w:name w:val="Subscript"/>
    <w:basedOn w:val="DefaultParagraphFont"/>
    <w:rsid w:val="00E10C76"/>
    <w:rPr>
      <w:sz w:val="16"/>
      <w:vertAlign w:val="subscript"/>
    </w:rPr>
  </w:style>
  <w:style w:type="character" w:customStyle="1" w:styleId="Superscript">
    <w:name w:val="Superscript"/>
    <w:basedOn w:val="DefaultParagraphFont"/>
    <w:rsid w:val="00E10C76"/>
    <w:rPr>
      <w:sz w:val="16"/>
      <w:vertAlign w:val="superscript"/>
    </w:rPr>
  </w:style>
  <w:style w:type="character" w:customStyle="1" w:styleId="Symbols">
    <w:name w:val="Symbols"/>
    <w:basedOn w:val="DefaultParagraphFont"/>
    <w:rsid w:val="00E10C76"/>
    <w:rPr>
      <w:rFonts w:ascii="Symbol" w:hAnsi="Symbol"/>
    </w:rPr>
  </w:style>
  <w:style w:type="character" w:customStyle="1" w:styleId="MenuOptions">
    <w:name w:val="Menu Options"/>
    <w:basedOn w:val="DefaultParagraphFont"/>
    <w:rsid w:val="00E10C76"/>
    <w:rPr>
      <w:rFonts w:ascii="Arial Narrow" w:hAnsi="Arial Narrow"/>
      <w:smallCaps/>
    </w:rPr>
  </w:style>
  <w:style w:type="character" w:customStyle="1" w:styleId="Buttons">
    <w:name w:val="Buttons"/>
    <w:basedOn w:val="DefaultParagraphFont"/>
    <w:rsid w:val="00E10C76"/>
    <w:rPr>
      <w:b/>
    </w:rPr>
  </w:style>
  <w:style w:type="character" w:customStyle="1" w:styleId="Underlined">
    <w:name w:val="Underlined"/>
    <w:basedOn w:val="DefaultParagraphFont"/>
    <w:rsid w:val="00E10C76"/>
    <w:rPr>
      <w:u w:val="single"/>
    </w:rPr>
  </w:style>
  <w:style w:type="paragraph" w:customStyle="1" w:styleId="TableBodyTextRight">
    <w:name w:val="Table Body Text Right"/>
    <w:basedOn w:val="TableBodyText"/>
    <w:rsid w:val="00E10C76"/>
    <w:pPr>
      <w:widowControl w:val="0"/>
      <w:autoSpaceDE w:val="0"/>
      <w:autoSpaceDN w:val="0"/>
      <w:adjustRightInd w:val="0"/>
      <w:jc w:val="right"/>
    </w:pPr>
    <w:rPr>
      <w:rFonts w:cs="Arial"/>
      <w:szCs w:val="18"/>
    </w:rPr>
  </w:style>
  <w:style w:type="paragraph" w:customStyle="1" w:styleId="CopyrightText">
    <w:name w:val="Copyright Text"/>
    <w:basedOn w:val="BodyText"/>
    <w:rsid w:val="00E10C76"/>
    <w:rPr>
      <w:sz w:val="18"/>
    </w:rPr>
  </w:style>
  <w:style w:type="paragraph" w:customStyle="1" w:styleId="BodySmallRight">
    <w:name w:val="Body Small Right"/>
    <w:basedOn w:val="BodyTextRight"/>
    <w:rsid w:val="00E10C76"/>
    <w:rPr>
      <w:sz w:val="18"/>
      <w:szCs w:val="18"/>
    </w:rPr>
  </w:style>
  <w:style w:type="paragraph" w:customStyle="1" w:styleId="MarginEdition">
    <w:name w:val="Margin Edition"/>
    <w:basedOn w:val="MarginNote"/>
    <w:rsid w:val="00E10C76"/>
    <w:pPr>
      <w:spacing w:before="0" w:after="0"/>
    </w:pPr>
    <w:rPr>
      <w:rFonts w:ascii="Times New Roman" w:hAnsi="Times New Roman"/>
      <w:color w:val="999999"/>
    </w:rPr>
  </w:style>
  <w:style w:type="paragraph" w:customStyle="1" w:styleId="Spacer">
    <w:name w:val="Spacer"/>
    <w:basedOn w:val="Normal"/>
    <w:rsid w:val="00E10C76"/>
    <w:rPr>
      <w:sz w:val="2"/>
      <w:szCs w:val="2"/>
    </w:rPr>
  </w:style>
  <w:style w:type="character" w:customStyle="1" w:styleId="Small">
    <w:name w:val="Small"/>
    <w:basedOn w:val="DefaultParagraphFont"/>
    <w:rsid w:val="00E10C76"/>
    <w:rPr>
      <w:sz w:val="16"/>
    </w:rPr>
  </w:style>
  <w:style w:type="paragraph" w:customStyle="1" w:styleId="WideTable">
    <w:name w:val="Wide Table"/>
    <w:basedOn w:val="Normal"/>
    <w:rsid w:val="00E10C76"/>
    <w:pPr>
      <w:ind w:left="-1418"/>
    </w:pPr>
    <w:rPr>
      <w:sz w:val="2"/>
      <w:szCs w:val="2"/>
    </w:rPr>
  </w:style>
  <w:style w:type="character" w:styleId="PageNumber">
    <w:name w:val="page number"/>
    <w:basedOn w:val="DefaultParagraphFont"/>
    <w:rsid w:val="00E10C76"/>
  </w:style>
  <w:style w:type="paragraph" w:styleId="Quote">
    <w:name w:val="Quote"/>
    <w:basedOn w:val="Heading1"/>
    <w:link w:val="QuoteChar"/>
    <w:qFormat/>
    <w:rsid w:val="00E10C76"/>
    <w:rPr>
      <w:b w:val="0"/>
      <w:sz w:val="72"/>
      <w:szCs w:val="72"/>
      <w:lang w:val="en-NZ"/>
    </w:rPr>
  </w:style>
  <w:style w:type="character" w:customStyle="1" w:styleId="QuoteChar">
    <w:name w:val="Quote Char"/>
    <w:basedOn w:val="DefaultParagraphFont"/>
    <w:link w:val="Quote"/>
    <w:rsid w:val="00E10C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C76"/>
    <w:pPr>
      <w:pageBreakBefore/>
    </w:pPr>
  </w:style>
  <w:style w:type="paragraph" w:customStyle="1" w:styleId="Border">
    <w:name w:val="Border"/>
    <w:basedOn w:val="Normal"/>
    <w:qFormat/>
    <w:rsid w:val="00E10C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C76"/>
    <w:rPr>
      <w:b/>
      <w:bCs/>
      <w:i/>
      <w:iCs/>
      <w:color w:val="auto"/>
    </w:rPr>
  </w:style>
  <w:style w:type="paragraph" w:styleId="IntenseQuote">
    <w:name w:val="Intense Quote"/>
    <w:basedOn w:val="Normal"/>
    <w:next w:val="Normal"/>
    <w:link w:val="IntenseQuoteChar"/>
    <w:uiPriority w:val="30"/>
    <w:qFormat/>
    <w:rsid w:val="00E10C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C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C76"/>
    <w:rPr>
      <w:smallCaps/>
      <w:color w:val="auto"/>
      <w:u w:val="single"/>
    </w:rPr>
  </w:style>
  <w:style w:type="character" w:styleId="IntenseReference">
    <w:name w:val="Intense Reference"/>
    <w:basedOn w:val="DefaultParagraphFont"/>
    <w:uiPriority w:val="32"/>
    <w:qFormat/>
    <w:rsid w:val="00E10C76"/>
    <w:rPr>
      <w:b/>
      <w:bCs/>
      <w:smallCaps/>
      <w:color w:val="auto"/>
      <w:spacing w:val="5"/>
      <w:u w:val="single"/>
    </w:rPr>
  </w:style>
  <w:style w:type="paragraph" w:customStyle="1" w:styleId="2ColumnHeading">
    <w:name w:val="2Column Heading"/>
    <w:basedOn w:val="BodyText"/>
    <w:qFormat/>
    <w:rsid w:val="00E10C76"/>
    <w:pPr>
      <w:spacing w:after="60"/>
      <w:ind w:left="-2268"/>
    </w:pPr>
    <w:rPr>
      <w:b/>
    </w:rPr>
  </w:style>
  <w:style w:type="paragraph" w:customStyle="1" w:styleId="Heading1TOC">
    <w:name w:val="Heading1 TOC"/>
    <w:basedOn w:val="Normal"/>
    <w:qFormat/>
    <w:rsid w:val="00E10C76"/>
    <w:pPr>
      <w:spacing w:before="240" w:after="120"/>
    </w:pPr>
    <w:rPr>
      <w:rFonts w:ascii="Times New Roman" w:hAnsi="Times New Roman"/>
      <w:b/>
      <w:sz w:val="32"/>
    </w:rPr>
  </w:style>
  <w:style w:type="paragraph" w:customStyle="1" w:styleId="Heading2TOC">
    <w:name w:val="Heading2 TOC"/>
    <w:basedOn w:val="Normal"/>
    <w:qFormat/>
    <w:rsid w:val="00E10C76"/>
    <w:pPr>
      <w:spacing w:before="240" w:after="60"/>
    </w:pPr>
    <w:rPr>
      <w:rFonts w:ascii="Times New Roman" w:hAnsi="Times New Roman"/>
      <w:b/>
      <w:sz w:val="28"/>
    </w:rPr>
  </w:style>
  <w:style w:type="character" w:customStyle="1" w:styleId="Underline">
    <w:name w:val="Underline"/>
    <w:basedOn w:val="DefaultParagraphFont"/>
    <w:qFormat/>
    <w:rsid w:val="00E10C76"/>
    <w:rPr>
      <w:u w:val="single"/>
    </w:rPr>
  </w:style>
  <w:style w:type="character" w:customStyle="1" w:styleId="BoldandItalics">
    <w:name w:val="Bold and Italics"/>
    <w:qFormat/>
    <w:rsid w:val="00E10C76"/>
    <w:rPr>
      <w:b/>
      <w:i/>
      <w:u w:val="none"/>
    </w:rPr>
  </w:style>
  <w:style w:type="paragraph" w:styleId="BalloonText">
    <w:name w:val="Balloon Text"/>
    <w:basedOn w:val="Normal"/>
    <w:link w:val="BalloonTextChar"/>
    <w:rsid w:val="00E10C76"/>
    <w:rPr>
      <w:rFonts w:ascii="Tahoma" w:hAnsi="Tahoma" w:cs="Tahoma"/>
      <w:sz w:val="16"/>
      <w:szCs w:val="16"/>
    </w:rPr>
  </w:style>
  <w:style w:type="character" w:customStyle="1" w:styleId="BalloonTextChar">
    <w:name w:val="Balloon Text Char"/>
    <w:basedOn w:val="DefaultParagraphFont"/>
    <w:link w:val="BalloonText"/>
    <w:rsid w:val="00E10C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C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C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C76"/>
    <w:rPr>
      <w:b/>
      <w:color w:val="660033"/>
      <w:spacing w:val="0"/>
    </w:rPr>
  </w:style>
  <w:style w:type="paragraph" w:customStyle="1" w:styleId="Nameditemlist">
    <w:name w:val="Named item list"/>
    <w:basedOn w:val="BodyText"/>
    <w:qFormat/>
    <w:rsid w:val="00E10C76"/>
    <w:pPr>
      <w:tabs>
        <w:tab w:val="left" w:pos="2835"/>
      </w:tabs>
      <w:ind w:left="2835" w:hanging="2835"/>
    </w:pPr>
  </w:style>
  <w:style w:type="paragraph" w:customStyle="1" w:styleId="BodyTextnopadding">
    <w:name w:val="Body Text no padding"/>
    <w:basedOn w:val="BodyText"/>
    <w:qFormat/>
    <w:rsid w:val="00E10C76"/>
    <w:pPr>
      <w:spacing w:before="0" w:after="0"/>
    </w:pPr>
  </w:style>
  <w:style w:type="paragraph" w:customStyle="1" w:styleId="BodyTextBold">
    <w:name w:val="Body Text Bold"/>
    <w:basedOn w:val="BodyText"/>
    <w:qFormat/>
    <w:rsid w:val="00E10C76"/>
    <w:rPr>
      <w:b/>
    </w:rPr>
  </w:style>
  <w:style w:type="character" w:styleId="Hyperlink">
    <w:name w:val="Hyperlink"/>
    <w:basedOn w:val="DefaultParagraphFont"/>
    <w:uiPriority w:val="99"/>
    <w:unhideWhenUsed/>
    <w:rsid w:val="00A101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4756</Characters>
  <Application>Microsoft Office Word</Application>
  <DocSecurity>0</DocSecurity>
  <Lines>121</Lines>
  <Paragraphs>74</Paragraphs>
  <ScaleCrop>false</ScaleCrop>
  <Company>Author-it Software Corporation Ltd.</Company>
  <LinksUpToDate>false</LinksUpToDate>
  <CharactersWithSpaces>5411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RIIPRE301D Conduct electrowinning/electro-refining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