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CA5" w:rsidP="003D3CA5">
      <w:pPr>
        <w:pStyle w:val="Title"/>
      </w:pPr>
      <w:r>
        <w:fldChar w:fldCharType="begin"/>
      </w:r>
      <w:r>
        <w:instrText xml:space="preserve"> TITLE   \* MERGEFORMAT </w:instrText>
      </w:r>
      <w:r>
        <w:fldChar w:fldCharType="separate"/>
      </w:r>
      <w:r>
        <w:t>RIIPRE204D Sinter materials</w:t>
      </w:r>
      <w:r>
        <w:fldChar w:fldCharType="end"/>
      </w:r>
    </w:p>
    <w:p w:rsidR="003D3CA5" w:rsidP="003D3CA5">
      <w:pPr>
        <w:pStyle w:val="Version"/>
        <w:sectPr w:rsidSect="00CE0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0585" w:rsidP="00CE0585">
      <w:pPr>
        <w:pStyle w:val="SuperHeading"/>
      </w:pPr>
      <w:r w:rsidRPr="00CE0585">
        <w:t>RIIPRE204D Sinter materials</w:t>
      </w:r>
    </w:p>
    <w:p w:rsidR="00000000" w:rsidRPr="00CE0585" w:rsidP="00CE0585">
      <w:pPr>
        <w:pStyle w:val="Heading1"/>
      </w:pPr>
      <w:bookmarkStart w:id="1" w:name="O_687773"/>
      <w:bookmarkEnd w:id="1"/>
      <w:r w:rsidRPr="00CE0585">
        <w:t>Modification History</w:t>
      </w:r>
    </w:p>
    <w:tbl>
      <w:tblPr>
        <w:tblW w:w="0" w:type="auto"/>
        <w:tblCellMar>
          <w:left w:w="62" w:type="dxa"/>
          <w:right w:w="62" w:type="dxa"/>
        </w:tblCellMar>
        <w:tblLook w:val="0000"/>
      </w:tblPr>
      <w:tblGrid>
        <w:gridCol w:w="1107"/>
        <w:gridCol w:w="8089"/>
      </w:tblGrid>
      <w:tr w:rsidTr="003D3CA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Heading4"/>
              <w:rPr>
                <w:lang w:val="en-NZ"/>
              </w:rPr>
            </w:pPr>
            <w:r w:rsidRPr="00CE05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Heading4"/>
              <w:rPr>
                <w:lang w:val="en-NZ"/>
              </w:rPr>
            </w:pPr>
            <w:r w:rsidRPr="00CE0585">
              <w:t>Comment</w:t>
            </w:r>
          </w:p>
        </w:tc>
      </w:tr>
      <w:tr w:rsidTr="003D3C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BodyText"/>
              <w:rPr>
                <w:lang w:val="en-NZ"/>
              </w:rPr>
            </w:pPr>
            <w:r w:rsidRPr="00CE05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BodyText"/>
              <w:rPr>
                <w:lang w:val="en-NZ"/>
              </w:rPr>
            </w:pPr>
            <w:r w:rsidRPr="00CE0585">
              <w:t>This unit replaces RIIPRE204A Sinter materials</w:t>
            </w:r>
          </w:p>
        </w:tc>
      </w:tr>
      <w:tr w:rsidTr="003D3C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BodyText"/>
              <w:rPr>
                <w:lang w:val="en-NZ"/>
              </w:rPr>
            </w:pPr>
            <w:r w:rsidRPr="00CE05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585" w:rsidP="00CE0585">
            <w:pPr>
              <w:pStyle w:val="BodyText"/>
            </w:pPr>
            <w:r w:rsidRPr="00CE0585">
              <w:t>Required frequency and volume of evidence amended in Performance evidence.</w:t>
            </w:r>
          </w:p>
          <w:p w:rsidR="00000000" w:rsidRPr="00CE0585" w:rsidP="00CE0585">
            <w:pPr>
              <w:pStyle w:val="BodyText"/>
            </w:pPr>
            <w:r w:rsidRPr="00CE0585">
              <w:t>Substantial amendments made in Assessment Conditions field, including: references to Indust</w:t>
            </w:r>
            <w:r w:rsidRPr="00CE0585">
              <w:t>ry Sectors, assessor and subject matter expert experience requirements, how assessment should be conducted and what it should confirm.</w:t>
            </w:r>
          </w:p>
        </w:tc>
      </w:tr>
    </w:tbl>
    <w:p w:rsidR="00000000" w:rsidRPr="00CE0585" w:rsidP="00CE0585">
      <w:pPr>
        <w:pStyle w:val="BodyText"/>
      </w:pPr>
    </w:p>
    <w:p w:rsidR="00000000" w:rsidRPr="00CE0585" w:rsidP="00CE0585">
      <w:pPr>
        <w:pStyle w:val="AllowPageBreak"/>
      </w:pPr>
    </w:p>
    <w:p w:rsidR="00000000" w:rsidRPr="00CE0585" w:rsidP="00CE0585">
      <w:pPr>
        <w:pStyle w:val="Heading1"/>
      </w:pPr>
      <w:bookmarkStart w:id="2" w:name="O_687772"/>
      <w:bookmarkEnd w:id="2"/>
      <w:r w:rsidRPr="00CE0585">
        <w:t>Application</w:t>
      </w:r>
    </w:p>
    <w:p w:rsidR="00000000" w:rsidRPr="00CE0585" w:rsidP="003D3CA5">
      <w:pPr>
        <w:pStyle w:val="BodyText"/>
      </w:pPr>
      <w:r w:rsidRPr="00CE0585">
        <w:t>This unit describes a participant’</w:t>
      </w:r>
      <w:r w:rsidRPr="00CE0585">
        <w:t>s skills and knowledge required to apply sinter materials in Metalliferous mining.</w:t>
      </w:r>
    </w:p>
    <w:p w:rsidR="003D3CA5" w:rsidP="003D3CA5">
      <w:pPr>
        <w:pStyle w:val="BodyText"/>
      </w:pPr>
      <w:r w:rsidRPr="00CE0585">
        <w:t>This unit is appropriate for those working in supervisory roles. Licensing, legislative, regulatory and certification requirements that apply to this unit can vary between s</w:t>
      </w:r>
      <w:r w:rsidRPr="00CE0585">
        <w:t>tates, territories, and industry sectors. Relevant information must be sourced prior to application of the unit.</w:t>
      </w:r>
    </w:p>
    <w:p w:rsidR="00000000" w:rsidRPr="00CE0585" w:rsidP="00CE0585">
      <w:pPr>
        <w:pStyle w:val="Heading1"/>
      </w:pPr>
      <w:bookmarkStart w:id="3" w:name="O_687771"/>
      <w:bookmarkEnd w:id="3"/>
      <w:r w:rsidRPr="00CE0585">
        <w:t>Unit Sector</w:t>
      </w:r>
    </w:p>
    <w:p w:rsidR="00000000" w:rsidRPr="00CE0585" w:rsidP="003D3CA5">
      <w:pPr>
        <w:pStyle w:val="BodyText"/>
      </w:pPr>
      <w:r w:rsidRPr="00CE0585">
        <w:t>Metalliferous mining</w:t>
      </w:r>
    </w:p>
    <w:p w:rsidR="00000000" w:rsidRPr="00CE0585" w:rsidP="00CE0585">
      <w:pPr>
        <w:pStyle w:val="Heading1"/>
      </w:pPr>
      <w:bookmarkStart w:id="4" w:name="O_687769"/>
      <w:bookmarkEnd w:id="4"/>
      <w:r w:rsidRPr="00CE0585">
        <w:t>Elements and Performance Criteria</w:t>
      </w:r>
    </w:p>
    <w:tbl>
      <w:tblPr>
        <w:tblW w:w="9322" w:type="dxa"/>
        <w:tblLayout w:type="fixed"/>
        <w:tblCellMar>
          <w:left w:w="62" w:type="dxa"/>
          <w:right w:w="62" w:type="dxa"/>
        </w:tblCellMar>
        <w:tblLook w:val="0000"/>
      </w:tblPr>
      <w:tblGrid>
        <w:gridCol w:w="2438"/>
        <w:gridCol w:w="6884"/>
      </w:tblGrid>
      <w:tr w:rsidTr="00CE05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585">
            <w:pPr>
              <w:pStyle w:val="BodyText"/>
              <w:rPr>
                <w:lang w:val="en-NZ"/>
              </w:rPr>
            </w:pPr>
            <w:r w:rsidRPr="00CE0585">
              <w:t>1.</w:t>
            </w:r>
            <w:r w:rsidRPr="00CE0585">
              <w:tab/>
              <w:t>Prepare materials for feeding into sin</w:t>
            </w:r>
            <w:r w:rsidRPr="00CE0585">
              <w:t>ter strand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585" w:rsidP="00CE0585">
            <w:pPr>
              <w:pStyle w:val="BodyText"/>
            </w:pPr>
            <w:r w:rsidRPr="00CE0585">
              <w:t>1.1</w:t>
            </w:r>
            <w:r w:rsidRPr="00CE0585">
              <w:tab/>
              <w:t>Access, interpret and apply documentation and procedures to sinter materials and ensure the work activity is compliant</w:t>
            </w:r>
          </w:p>
          <w:p w:rsidR="00000000" w:rsidRPr="00CE0585" w:rsidP="00CE0585">
            <w:pPr>
              <w:pStyle w:val="BodyText"/>
            </w:pPr>
            <w:r w:rsidRPr="00CE0585">
              <w:t>1.2</w:t>
            </w:r>
            <w:r w:rsidRPr="00CE0585">
              <w:tab/>
              <w:t>Add (reagents) to meet production targets and specifications</w:t>
            </w:r>
          </w:p>
          <w:p w:rsidR="00000000" w:rsidRPr="00CE0585" w:rsidP="00CE0585">
            <w:pPr>
              <w:pStyle w:val="BodyText"/>
            </w:pPr>
            <w:r w:rsidRPr="00CE0585">
              <w:t>1.3</w:t>
            </w:r>
            <w:r w:rsidRPr="00CE0585">
              <w:tab/>
              <w:t>Monitor and control moisture content of materials</w:t>
            </w:r>
          </w:p>
          <w:p w:rsidR="00000000" w:rsidRPr="00CE0585" w:rsidP="00CE0585">
            <w:pPr>
              <w:pStyle w:val="BodyText"/>
            </w:pPr>
            <w:r w:rsidRPr="00CE0585">
              <w:t>1.4</w:t>
            </w:r>
            <w:r w:rsidRPr="00CE0585">
              <w:tab/>
              <w:t>Monitor and control material feed rate</w:t>
            </w:r>
          </w:p>
          <w:p w:rsidR="00000000" w:rsidP="00CE0585">
            <w:pPr>
              <w:pStyle w:val="BodyText"/>
              <w:rPr>
                <w:lang w:val="en-NZ"/>
              </w:rPr>
            </w:pPr>
            <w:r w:rsidRPr="00CE0585">
              <w:t>1.5</w:t>
            </w:r>
            <w:r w:rsidRPr="00CE0585">
              <w:tab/>
              <w:t>Identify and remove feedstock material before processing begins</w:t>
            </w:r>
          </w:p>
        </w:tc>
      </w:tr>
      <w:tr w:rsidTr="00CE05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585">
            <w:pPr>
              <w:pStyle w:val="BodyText"/>
              <w:rPr>
                <w:lang w:val="en-NZ"/>
              </w:rPr>
            </w:pPr>
            <w:r w:rsidRPr="00CE0585">
              <w:t>2.</w:t>
            </w:r>
            <w:r w:rsidRPr="00CE0585">
              <w:tab/>
              <w:t>Sinter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585" w:rsidP="00CE0585">
            <w:pPr>
              <w:pStyle w:val="BodyText"/>
            </w:pPr>
            <w:r w:rsidRPr="00CE0585">
              <w:t>2.1</w:t>
            </w:r>
            <w:r w:rsidRPr="00CE0585">
              <w:tab/>
              <w:t>Monitor and adjust correct suction rate throughout bed to ensure sintering is complete</w:t>
            </w:r>
          </w:p>
          <w:p w:rsidR="00000000" w:rsidRPr="00CE0585" w:rsidP="00CE0585">
            <w:pPr>
              <w:pStyle w:val="BodyText"/>
            </w:pPr>
            <w:r w:rsidRPr="00CE0585">
              <w:t>2.2</w:t>
            </w:r>
            <w:r w:rsidRPr="00CE0585">
              <w:tab/>
              <w:t xml:space="preserve">Identify and separate materials </w:t>
            </w:r>
            <w:r w:rsidRPr="00CE0585">
              <w:t xml:space="preserve">not meeting material size to </w:t>
            </w:r>
            <w:r w:rsidRPr="00CE0585">
              <w:t>raw material mix or other specified location</w:t>
            </w:r>
          </w:p>
          <w:p w:rsidR="00000000" w:rsidRPr="00CE0585" w:rsidP="00CE0585">
            <w:pPr>
              <w:pStyle w:val="BodyText"/>
            </w:pPr>
            <w:r w:rsidRPr="00CE0585">
              <w:t>2.3</w:t>
            </w:r>
            <w:r w:rsidRPr="00CE0585">
              <w:tab/>
              <w:t>Monitor and adjust temperature to maintain uniform distribution across the bed</w:t>
            </w:r>
          </w:p>
          <w:p w:rsidR="00000000" w:rsidRPr="00CE0585" w:rsidP="00CE0585">
            <w:pPr>
              <w:pStyle w:val="BodyText"/>
            </w:pPr>
            <w:r w:rsidRPr="00CE0585">
              <w:t>2.4</w:t>
            </w:r>
            <w:r w:rsidRPr="00CE0585">
              <w:tab/>
              <w:t>Screen hot sinter where applicable</w:t>
            </w:r>
          </w:p>
          <w:p w:rsidR="00000000" w:rsidRPr="00CE0585" w:rsidP="00CE0585">
            <w:pPr>
              <w:pStyle w:val="BodyText"/>
            </w:pPr>
            <w:r w:rsidRPr="00CE0585">
              <w:t>2.5</w:t>
            </w:r>
            <w:r w:rsidRPr="00CE0585">
              <w:tab/>
              <w:t>Check and confirm strand discharge chutes are working</w:t>
            </w:r>
          </w:p>
          <w:p w:rsidR="00000000" w:rsidRPr="00CE0585" w:rsidP="00CE0585">
            <w:pPr>
              <w:pStyle w:val="BodyText"/>
            </w:pPr>
            <w:r w:rsidRPr="00CE0585">
              <w:t>2.6</w:t>
            </w:r>
            <w:r w:rsidRPr="00CE0585">
              <w:tab/>
              <w:t>Confirm roll feeder is clear of debris and build-up</w:t>
            </w:r>
          </w:p>
          <w:p w:rsidR="00000000" w:rsidRPr="00CE0585" w:rsidP="00CE0585">
            <w:pPr>
              <w:pStyle w:val="BodyText"/>
            </w:pPr>
            <w:r w:rsidRPr="00CE0585">
              <w:t>2.7</w:t>
            </w:r>
            <w:r w:rsidRPr="00CE0585">
              <w:tab/>
              <w:t>Check and confirm condition of pallet seal and wind box to prevent leakage</w:t>
            </w:r>
          </w:p>
          <w:p w:rsidR="00000000" w:rsidRPr="00CE0585" w:rsidP="00CE0585">
            <w:pPr>
              <w:pStyle w:val="BodyText"/>
            </w:pPr>
            <w:r w:rsidRPr="00CE0585">
              <w:t>2.8</w:t>
            </w:r>
            <w:r w:rsidRPr="00CE0585">
              <w:tab/>
              <w:t>Check and confirm fire bars and spade pins are intact to minimise fall through of material</w:t>
            </w:r>
          </w:p>
          <w:p w:rsidR="00000000" w:rsidRPr="00CE0585" w:rsidP="00CE0585">
            <w:pPr>
              <w:pStyle w:val="BodyText"/>
            </w:pPr>
            <w:r w:rsidRPr="00CE0585">
              <w:t>2.9</w:t>
            </w:r>
            <w:r w:rsidRPr="00CE0585">
              <w:tab/>
              <w:t>Deposit blend across f</w:t>
            </w:r>
            <w:r w:rsidRPr="00CE0585">
              <w:t xml:space="preserve">ull width of strand </w:t>
            </w:r>
          </w:p>
          <w:p w:rsidR="00000000" w:rsidP="00CE0585">
            <w:pPr>
              <w:pStyle w:val="BodyText"/>
              <w:rPr>
                <w:lang w:val="en-NZ"/>
              </w:rPr>
            </w:pPr>
            <w:r w:rsidRPr="00CE0585">
              <w:t>2.10</w:t>
            </w:r>
            <w:r w:rsidRPr="00CE0585">
              <w:tab/>
              <w:t>Operate at full bed depth and constant waste gas temperature</w:t>
            </w:r>
          </w:p>
        </w:tc>
      </w:tr>
      <w:tr w:rsidTr="00CE05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585">
            <w:pPr>
              <w:pStyle w:val="BodyText"/>
              <w:rPr>
                <w:lang w:val="en-NZ"/>
              </w:rPr>
            </w:pPr>
            <w:r w:rsidRPr="00CE0585">
              <w:t>3.</w:t>
            </w:r>
            <w:r w:rsidRPr="00CE0585">
              <w:tab/>
              <w:t>Cool and screen sinter and fines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585" w:rsidP="00CE0585">
            <w:pPr>
              <w:pStyle w:val="BodyText"/>
            </w:pPr>
            <w:r w:rsidRPr="00CE0585">
              <w:t>3.1</w:t>
            </w:r>
            <w:r w:rsidRPr="00CE0585">
              <w:tab/>
              <w:t>Receive and assess material size according to hearth layer requirements</w:t>
            </w:r>
          </w:p>
          <w:p w:rsidR="00000000" w:rsidRPr="00CE0585" w:rsidP="00CE0585">
            <w:pPr>
              <w:pStyle w:val="BodyText"/>
            </w:pPr>
            <w:r w:rsidRPr="00CE0585">
              <w:t>3.2</w:t>
            </w:r>
            <w:r w:rsidRPr="00CE0585">
              <w:tab/>
              <w:t>Maintain hopper levels ensuring contract feed to scr</w:t>
            </w:r>
            <w:r w:rsidRPr="00CE0585">
              <w:t>eening station</w:t>
            </w:r>
          </w:p>
          <w:p w:rsidR="00000000" w:rsidRPr="00CE0585" w:rsidP="00CE0585">
            <w:pPr>
              <w:pStyle w:val="BodyText"/>
            </w:pPr>
            <w:r w:rsidRPr="00CE0585">
              <w:t>3.3</w:t>
            </w:r>
            <w:r w:rsidRPr="00CE0585">
              <w:tab/>
              <w:t>Crush oversize material from scalping screens</w:t>
            </w:r>
          </w:p>
          <w:p w:rsidR="00000000" w:rsidRPr="00CE0585" w:rsidP="00CE0585">
            <w:pPr>
              <w:pStyle w:val="BodyText"/>
            </w:pPr>
            <w:r w:rsidRPr="00CE0585">
              <w:t>3.4</w:t>
            </w:r>
            <w:r w:rsidRPr="00CE0585">
              <w:tab/>
              <w:t>Monitor and cool sinter to the required temperature</w:t>
            </w:r>
          </w:p>
          <w:p w:rsidR="00000000" w:rsidRPr="00CE0585" w:rsidP="00CE0585">
            <w:pPr>
              <w:pStyle w:val="BodyText"/>
            </w:pPr>
            <w:r w:rsidRPr="00CE0585">
              <w:t>3.5</w:t>
            </w:r>
            <w:r w:rsidRPr="00CE0585">
              <w:tab/>
              <w:t>Monitor cooler operations to maintain required temperature, minimise air leakage, and meet cooling rate requirements</w:t>
            </w:r>
          </w:p>
          <w:p w:rsidR="00000000" w:rsidP="00CE0585">
            <w:pPr>
              <w:pStyle w:val="BodyText"/>
              <w:rPr>
                <w:lang w:val="en-NZ"/>
              </w:rPr>
            </w:pPr>
            <w:r w:rsidRPr="00CE0585">
              <w:t>3.6</w:t>
            </w:r>
            <w:r w:rsidRPr="00CE0585">
              <w:tab/>
              <w:t>Monitor an</w:t>
            </w:r>
            <w:r w:rsidRPr="00CE0585">
              <w:t>d maintain appropriate depth of sinter on cooling pallets</w:t>
            </w:r>
          </w:p>
        </w:tc>
      </w:tr>
      <w:tr w:rsidTr="00CE058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0585">
            <w:pPr>
              <w:pStyle w:val="BodyText"/>
              <w:rPr>
                <w:lang w:val="en-NZ"/>
              </w:rPr>
            </w:pPr>
            <w:r w:rsidRPr="00CE0585">
              <w:t>4.</w:t>
            </w:r>
            <w:r w:rsidRPr="00CE0585">
              <w:tab/>
              <w:t>Operate environmental controls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0585" w:rsidP="00CE0585">
            <w:pPr>
              <w:pStyle w:val="BodyText"/>
            </w:pPr>
            <w:r w:rsidRPr="00CE0585">
              <w:t>4.1</w:t>
            </w:r>
            <w:r w:rsidRPr="00CE0585">
              <w:tab/>
              <w:t>Ensure environmental systems are operating correctly</w:t>
            </w:r>
          </w:p>
          <w:p w:rsidR="00000000" w:rsidRPr="00CE0585" w:rsidP="00CE0585">
            <w:pPr>
              <w:pStyle w:val="BodyText"/>
            </w:pPr>
            <w:r w:rsidRPr="00CE0585">
              <w:t>4.2</w:t>
            </w:r>
            <w:r w:rsidRPr="00CE0585">
              <w:tab/>
              <w:t>Check wastes and emission collection meets operational compliance</w:t>
            </w:r>
          </w:p>
        </w:tc>
      </w:tr>
    </w:tbl>
    <w:p w:rsidR="00000000" w:rsidRPr="00CE0585" w:rsidP="00CE0585">
      <w:pPr>
        <w:pStyle w:val="BodyText"/>
      </w:pPr>
    </w:p>
    <w:p w:rsidR="00000000" w:rsidRPr="00CE0585" w:rsidP="00CE0585">
      <w:pPr>
        <w:pStyle w:val="AllowPageBreak"/>
      </w:pPr>
    </w:p>
    <w:p w:rsidR="00000000" w:rsidRPr="00CE0585" w:rsidP="00CE0585">
      <w:pPr>
        <w:pStyle w:val="Heading1"/>
      </w:pPr>
      <w:bookmarkStart w:id="5" w:name="O_687768"/>
      <w:bookmarkEnd w:id="5"/>
      <w:r w:rsidRPr="00CE0585">
        <w:t>Foundation Skills</w:t>
      </w:r>
    </w:p>
    <w:p w:rsidR="003D3CA5" w:rsidP="003D3CA5">
      <w:pPr>
        <w:pStyle w:val="BodyText"/>
      </w:pPr>
      <w:r w:rsidRPr="00CE0585">
        <w:t>Foundation skills essential to performance are explicit in the performance criteria of this unit. Further information is available in the Resources and Infrastructure Industry Training Package Companion Volume.</w:t>
      </w:r>
    </w:p>
    <w:p w:rsidR="00000000" w:rsidRPr="00CE0585" w:rsidP="00CE0585">
      <w:pPr>
        <w:pStyle w:val="Heading1"/>
      </w:pPr>
      <w:bookmarkStart w:id="6" w:name="O_687767"/>
      <w:bookmarkEnd w:id="6"/>
      <w:r w:rsidRPr="00CE0585">
        <w:t>Unit Mapping Information</w:t>
      </w:r>
    </w:p>
    <w:p w:rsidR="00000000" w:rsidRPr="00CE0585" w:rsidP="003D3CA5">
      <w:pPr>
        <w:pStyle w:val="BodyText"/>
      </w:pPr>
      <w:r w:rsidRPr="00CE0585">
        <w:t>RIIPRE204A Sinter materials</w:t>
      </w:r>
    </w:p>
    <w:p w:rsidR="00000000" w:rsidRPr="00CE0585" w:rsidP="00CE0585">
      <w:pPr>
        <w:pStyle w:val="Heading1"/>
      </w:pPr>
      <w:bookmarkStart w:id="7" w:name="O_687779"/>
      <w:bookmarkEnd w:id="7"/>
      <w:r w:rsidRPr="00CE0585">
        <w:t>Links</w:t>
      </w:r>
    </w:p>
    <w:p w:rsidR="00000000" w:rsidRPr="00CE0585" w:rsidP="003D3CA5">
      <w:pPr>
        <w:pStyle w:val="BodyText"/>
      </w:pPr>
      <w:r w:rsidRPr="00CE05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4202">
        <w:rPr>
          <w:rStyle w:val="Hyperlink"/>
        </w:rPr>
        <w:t>https://vetnet.gov.au/Pages/TrainingDocs.aspx?q=88a61002-9a21-4386-aaf8-69c76e675272</w:t>
      </w:r>
      <w:r>
        <w:fldChar w:fldCharType="end"/>
      </w:r>
    </w:p>
    <w:p w:rsidR="00000000" w:rsidRPr="00CE0585" w:rsidP="003D3CA5">
      <w:pPr>
        <w:pStyle w:val="BodyText"/>
        <w:sectPr w:rsidSect="00CE0585">
          <w:headerReference w:type="default" r:id="rId10"/>
          <w:footerReference w:type="default" r:id="rId11"/>
          <w:pgSz w:w="11908" w:h="16833"/>
          <w:pgMar w:top="1702" w:right="1418" w:bottom="1702" w:left="1418" w:header="992" w:footer="992" w:gutter="0"/>
          <w:cols w:space="720"/>
          <w:noEndnote/>
          <w:docGrid w:linePitch="299"/>
        </w:sectPr>
      </w:pPr>
    </w:p>
    <w:p w:rsidR="00000000" w:rsidRPr="00CE0585" w:rsidP="00CE0585">
      <w:pPr>
        <w:pStyle w:val="SuperHeading"/>
      </w:pPr>
      <w:r w:rsidRPr="00CE0585">
        <w:t>Assessment R</w:t>
      </w:r>
      <w:r w:rsidRPr="00CE0585">
        <w:t>equirements for RIIPRE204D Sinter materials</w:t>
      </w:r>
    </w:p>
    <w:p w:rsidR="00000000" w:rsidRPr="00CE0585" w:rsidP="00CE0585">
      <w:pPr>
        <w:pStyle w:val="Heading1"/>
      </w:pPr>
      <w:bookmarkStart w:id="8" w:name="O_687765"/>
      <w:bookmarkEnd w:id="8"/>
      <w:r w:rsidRPr="00CE0585">
        <w:t>Modification History</w:t>
      </w:r>
    </w:p>
    <w:tbl>
      <w:tblPr>
        <w:tblW w:w="0" w:type="auto"/>
        <w:tblCellMar>
          <w:left w:w="62" w:type="dxa"/>
          <w:right w:w="62" w:type="dxa"/>
        </w:tblCellMar>
        <w:tblLook w:val="0000"/>
      </w:tblPr>
      <w:tblGrid>
        <w:gridCol w:w="1107"/>
        <w:gridCol w:w="8089"/>
      </w:tblGrid>
      <w:tr w:rsidTr="003D3CA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Heading4"/>
              <w:rPr>
                <w:lang w:val="en-NZ"/>
              </w:rPr>
            </w:pPr>
            <w:r w:rsidRPr="00CE058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Heading4"/>
              <w:rPr>
                <w:lang w:val="en-NZ"/>
              </w:rPr>
            </w:pPr>
            <w:r w:rsidRPr="00CE0585">
              <w:t>Comment</w:t>
            </w:r>
          </w:p>
        </w:tc>
      </w:tr>
      <w:tr w:rsidTr="003D3C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BodyText"/>
              <w:rPr>
                <w:lang w:val="en-NZ"/>
              </w:rPr>
            </w:pPr>
            <w:r w:rsidRPr="00CE058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BodyText"/>
              <w:rPr>
                <w:lang w:val="en-NZ"/>
              </w:rPr>
            </w:pPr>
            <w:r w:rsidRPr="00CE0585">
              <w:t>This unit replaces RIIPRE204A Sinter materials</w:t>
            </w:r>
          </w:p>
        </w:tc>
      </w:tr>
      <w:tr w:rsidTr="003D3C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585">
            <w:pPr>
              <w:pStyle w:val="BodyText"/>
              <w:rPr>
                <w:lang w:val="en-NZ"/>
              </w:rPr>
            </w:pPr>
            <w:r w:rsidRPr="00CE058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585" w:rsidP="00CE0585">
            <w:pPr>
              <w:pStyle w:val="BodyText"/>
            </w:pPr>
            <w:r w:rsidRPr="00CE0585">
              <w:t>Required frequency and volume of evidence amended in Performance evidence.</w:t>
            </w:r>
          </w:p>
          <w:p w:rsidR="00000000" w:rsidRPr="00CE0585" w:rsidP="00CE0585">
            <w:pPr>
              <w:pStyle w:val="BodyText"/>
            </w:pPr>
            <w:r w:rsidRPr="00CE0585">
              <w:t>Substantial amendments made in Assessment Conditions field, including: references to Industry Sectors, assessor and subject matter expert experience requirements, how assessment should be conducted and what it should confirm.</w:t>
            </w:r>
          </w:p>
        </w:tc>
      </w:tr>
    </w:tbl>
    <w:p w:rsidR="00000000" w:rsidRPr="00CE0585" w:rsidP="00CE0585">
      <w:pPr>
        <w:pStyle w:val="BodyText"/>
      </w:pPr>
    </w:p>
    <w:p w:rsidR="00000000" w:rsidRPr="00CE0585" w:rsidP="00CE0585">
      <w:pPr>
        <w:pStyle w:val="AllowPageBreak"/>
      </w:pPr>
    </w:p>
    <w:p w:rsidR="00000000" w:rsidRPr="00CE0585" w:rsidP="00CE0585">
      <w:pPr>
        <w:pStyle w:val="Heading1"/>
      </w:pPr>
      <w:bookmarkStart w:id="9" w:name="O_687764"/>
      <w:bookmarkEnd w:id="9"/>
      <w:r w:rsidRPr="00CE0585">
        <w:t>Performance</w:t>
      </w:r>
      <w:r w:rsidRPr="00CE0585">
        <w:t xml:space="preserve"> Evidence</w:t>
      </w:r>
    </w:p>
    <w:p w:rsidR="00000000" w:rsidRPr="00CE0585" w:rsidP="003D3CA5">
      <w:pPr>
        <w:pStyle w:val="BodyText"/>
      </w:pPr>
      <w:r w:rsidRPr="00CE0585">
        <w:t>Evidence is required to be collected that demonstrates a candidate’s competency in this unit. Evidence must be relevant to the roles within this sector’s work operations and satisfy all of the requirements of the performance criteria of this unit</w:t>
      </w:r>
      <w:r w:rsidRPr="00CE0585">
        <w:t xml:space="preserve"> and include evidence that the candidate:</w:t>
      </w:r>
    </w:p>
    <w:p w:rsidR="00000000" w:rsidRPr="00CE0585" w:rsidP="00CE0585">
      <w:pPr>
        <w:pStyle w:val="ListBullet2"/>
      </w:pPr>
      <w:r w:rsidRPr="00CE0585">
        <w:t>locates and applies relevant documentation, policies and procedures</w:t>
      </w:r>
    </w:p>
    <w:p w:rsidR="00000000" w:rsidRPr="00CE0585" w:rsidP="00CE0585">
      <w:pPr>
        <w:pStyle w:val="ListBullet2"/>
      </w:pPr>
      <w:r w:rsidRPr="00CE0585">
        <w:t>implements the requirements, procedures and techniques for the safe, effective and efficient completion of materials sintering including:</w:t>
      </w:r>
    </w:p>
    <w:p w:rsidR="00000000" w:rsidRPr="00CE0585" w:rsidP="00CE0585">
      <w:pPr>
        <w:pStyle w:val="ListBullet3"/>
      </w:pPr>
      <w:r w:rsidRPr="00CE0585">
        <w:t>identi</w:t>
      </w:r>
      <w:r w:rsidRPr="00CE0585">
        <w:t>fying and applying environmental processes</w:t>
      </w:r>
    </w:p>
    <w:p w:rsidR="00000000" w:rsidRPr="00CE0585" w:rsidP="00CE0585">
      <w:pPr>
        <w:pStyle w:val="ListBullet3"/>
      </w:pPr>
      <w:r w:rsidRPr="00CE0585">
        <w:t>identifying and managing hazards affecting the sinter of materials</w:t>
      </w:r>
    </w:p>
    <w:p w:rsidR="00000000" w:rsidRPr="00CE0585" w:rsidP="00CE0585">
      <w:pPr>
        <w:pStyle w:val="ListBullet"/>
      </w:pPr>
      <w:r w:rsidRPr="00CE0585">
        <w:t xml:space="preserve">demonstrates completion of materials sintering that safely, effectively and efficiently meets all of </w:t>
      </w:r>
      <w:r w:rsidRPr="00CE0585">
        <w:t>the required outcomes on more than one (1) occasion including:</w:t>
      </w:r>
    </w:p>
    <w:p w:rsidR="00000000" w:rsidRPr="00CE0585" w:rsidP="00CE0585">
      <w:pPr>
        <w:pStyle w:val="ListBullet3"/>
      </w:pPr>
      <w:r w:rsidRPr="00CE0585">
        <w:t>operating plant and equipment to meet job requirements</w:t>
      </w:r>
    </w:p>
    <w:p w:rsidR="00000000" w:rsidRPr="00CE0585" w:rsidP="00CE0585">
      <w:pPr>
        <w:pStyle w:val="ListBullet3"/>
      </w:pPr>
      <w:r w:rsidRPr="00CE0585">
        <w:t>managing blend profile to give optimum strand conditions</w:t>
      </w:r>
    </w:p>
    <w:p w:rsidR="00000000" w:rsidRPr="00CE0585" w:rsidP="00CE0585">
      <w:pPr>
        <w:pStyle w:val="ListBullet3"/>
      </w:pPr>
      <w:r w:rsidRPr="00CE0585">
        <w:t>managing sinter techniques and production</w:t>
      </w:r>
    </w:p>
    <w:p w:rsidR="00000000" w:rsidRPr="00CE0585" w:rsidP="00CE0585">
      <w:pPr>
        <w:pStyle w:val="ListBullet3"/>
      </w:pPr>
      <w:r w:rsidRPr="00CE0585">
        <w:t>completing sinter feedstock</w:t>
      </w:r>
    </w:p>
    <w:p w:rsidR="00000000" w:rsidRPr="00CE0585" w:rsidP="00CE0585">
      <w:pPr>
        <w:pStyle w:val="ListBullet3"/>
      </w:pPr>
      <w:r w:rsidRPr="00CE0585">
        <w:t>managing s</w:t>
      </w:r>
      <w:r w:rsidRPr="00CE0585">
        <w:t>inter yield</w:t>
      </w:r>
    </w:p>
    <w:p w:rsidR="00000000" w:rsidRPr="00CE0585" w:rsidP="00CE0585">
      <w:pPr>
        <w:pStyle w:val="ListBullet3"/>
      </w:pPr>
      <w:r w:rsidRPr="00CE0585">
        <w:t>applying sinter feedstock additions</w:t>
      </w:r>
    </w:p>
    <w:p w:rsidR="00000000" w:rsidRPr="00CE0585" w:rsidP="00CE0585">
      <w:pPr>
        <w:pStyle w:val="ListBullet3"/>
      </w:pPr>
      <w:r w:rsidRPr="00CE0585">
        <w:t>managing hot screening</w:t>
      </w:r>
    </w:p>
    <w:p w:rsidR="00000000" w:rsidRPr="00CE0585" w:rsidP="00CE0585">
      <w:pPr>
        <w:pStyle w:val="ListBullet3"/>
      </w:pPr>
      <w:r w:rsidRPr="00CE0585">
        <w:t>completing screening</w:t>
      </w:r>
    </w:p>
    <w:p w:rsidR="00000000" w:rsidRPr="00CE0585" w:rsidP="00CE0585">
      <w:pPr>
        <w:pStyle w:val="ListBullet3"/>
      </w:pPr>
      <w:r w:rsidRPr="00CE0585">
        <w:t>applying hearth layer requirements</w:t>
      </w:r>
    </w:p>
    <w:p w:rsidR="00000000" w:rsidRPr="00CE0585" w:rsidP="00CE0585">
      <w:pPr>
        <w:pStyle w:val="ListBullet3"/>
      </w:pPr>
      <w:r w:rsidRPr="00CE0585">
        <w:t>applying cooling requirements managing cooler air leakage</w:t>
      </w:r>
    </w:p>
    <w:p w:rsidR="00000000" w:rsidRPr="00CE0585" w:rsidP="00CE0585">
      <w:pPr>
        <w:pStyle w:val="AllowPageBreak"/>
      </w:pPr>
    </w:p>
    <w:p w:rsidR="00000000" w:rsidRPr="00CE0585" w:rsidP="00CE0585">
      <w:pPr>
        <w:pStyle w:val="Heading1"/>
      </w:pPr>
      <w:bookmarkStart w:id="10" w:name="O_687763"/>
      <w:bookmarkEnd w:id="10"/>
      <w:r w:rsidRPr="00CE0585">
        <w:t>Knowledge Evidence</w:t>
      </w:r>
    </w:p>
    <w:p w:rsidR="00000000" w:rsidRPr="00CE0585" w:rsidP="003D3CA5">
      <w:pPr>
        <w:pStyle w:val="BodyText"/>
      </w:pPr>
      <w:r w:rsidRPr="00CE0585">
        <w:t>The candidate must demonstrate knowledge of sintering materials through:</w:t>
      </w:r>
    </w:p>
    <w:p w:rsidR="00000000" w:rsidRPr="00CE0585" w:rsidP="00CE0585">
      <w:pPr>
        <w:pStyle w:val="ListBullet2"/>
      </w:pPr>
      <w:r w:rsidRPr="00CE0585">
        <w:t>importance of correct pallet side walls</w:t>
      </w:r>
    </w:p>
    <w:p w:rsidR="00000000" w:rsidRPr="00CE0585" w:rsidP="00CE0585">
      <w:pPr>
        <w:pStyle w:val="ListBullet2"/>
      </w:pPr>
      <w:r w:rsidRPr="00CE0585">
        <w:t>reasons for maintaining maximum depth of sinter in cooler pallets</w:t>
      </w:r>
    </w:p>
    <w:p w:rsidR="00000000" w:rsidRPr="00CE0585" w:rsidP="00CE0585">
      <w:pPr>
        <w:pStyle w:val="ListBullet2"/>
      </w:pPr>
      <w:r w:rsidRPr="00CE0585">
        <w:t>danger of high temperature sinter/pellets on conveyors</w:t>
      </w:r>
    </w:p>
    <w:p w:rsidR="00000000" w:rsidRPr="00CE0585" w:rsidP="00CE0585">
      <w:pPr>
        <w:pStyle w:val="ListBullet2"/>
      </w:pPr>
      <w:r w:rsidRPr="00CE0585">
        <w:t xml:space="preserve">no oversize material </w:t>
      </w:r>
      <w:r w:rsidRPr="00CE0585">
        <w:t>after final cold fines screen</w:t>
      </w:r>
    </w:p>
    <w:p w:rsidR="00000000" w:rsidRPr="00CE0585" w:rsidP="00CE0585">
      <w:pPr>
        <w:pStyle w:val="ListBullet2"/>
      </w:pPr>
      <w:r w:rsidRPr="00CE0585">
        <w:t>temperature distribution</w:t>
      </w:r>
    </w:p>
    <w:p w:rsidR="00000000" w:rsidRPr="00CE0585" w:rsidP="00CE0585">
      <w:pPr>
        <w:pStyle w:val="ListBullet2"/>
      </w:pPr>
      <w:r w:rsidRPr="00CE0585">
        <w:t>combustion requirements</w:t>
      </w:r>
    </w:p>
    <w:p w:rsidR="00000000" w:rsidRPr="00CE0585" w:rsidP="00CE0585">
      <w:pPr>
        <w:pStyle w:val="ListBullet2"/>
      </w:pPr>
      <w:r w:rsidRPr="00CE0585">
        <w:t>suction requirements</w:t>
      </w:r>
    </w:p>
    <w:p w:rsidR="00000000" w:rsidRPr="00CE0585" w:rsidP="00CE0585">
      <w:pPr>
        <w:pStyle w:val="ListBullet2"/>
      </w:pPr>
      <w:r w:rsidRPr="00CE0585">
        <w:t>processing of sinter and fines</w:t>
      </w:r>
    </w:p>
    <w:p w:rsidR="00000000" w:rsidRPr="00CE0585" w:rsidP="00CE0585">
      <w:pPr>
        <w:pStyle w:val="ListBullet2"/>
      </w:pPr>
      <w:r w:rsidRPr="00CE0585">
        <w:t>effects of strand leakage’s</w:t>
      </w:r>
    </w:p>
    <w:p w:rsidR="00000000" w:rsidRPr="00CE0585" w:rsidP="00CE0585">
      <w:pPr>
        <w:pStyle w:val="ListBullet2"/>
      </w:pPr>
      <w:r w:rsidRPr="00CE0585">
        <w:t>importance of correct strand disposition</w:t>
      </w:r>
    </w:p>
    <w:p w:rsidR="00000000" w:rsidRPr="00CE0585" w:rsidP="00CE0585">
      <w:pPr>
        <w:pStyle w:val="ListBullet2"/>
      </w:pPr>
      <w:r w:rsidRPr="00CE0585">
        <w:t>importance of roll feeder operation</w:t>
      </w:r>
    </w:p>
    <w:p w:rsidR="00000000" w:rsidRPr="00CE0585" w:rsidP="00CE0585">
      <w:pPr>
        <w:pStyle w:val="ListBullet2"/>
      </w:pPr>
      <w:r w:rsidRPr="00CE0585">
        <w:t>over size material</w:t>
      </w:r>
    </w:p>
    <w:p w:rsidR="00000000" w:rsidRPr="00CE0585" w:rsidP="00CE0585">
      <w:pPr>
        <w:pStyle w:val="ListBullet2"/>
      </w:pPr>
      <w:r w:rsidRPr="00CE0585">
        <w:t>d</w:t>
      </w:r>
      <w:r w:rsidRPr="00CE0585">
        <w:t>angers presented by specific plant and equipment</w:t>
      </w:r>
    </w:p>
    <w:p w:rsidR="00000000" w:rsidRPr="00CE0585" w:rsidP="00CE0585">
      <w:pPr>
        <w:pStyle w:val="ListBullet2"/>
      </w:pPr>
      <w:r w:rsidRPr="00CE0585">
        <w:t>reporting of faults</w:t>
      </w:r>
    </w:p>
    <w:p w:rsidR="00000000" w:rsidRPr="00CE0585" w:rsidP="00CE0585">
      <w:pPr>
        <w:pStyle w:val="AllowPageBreak"/>
      </w:pPr>
    </w:p>
    <w:p w:rsidR="00000000" w:rsidRPr="00CE0585" w:rsidP="00CE0585">
      <w:pPr>
        <w:pStyle w:val="Heading1"/>
      </w:pPr>
      <w:bookmarkStart w:id="11" w:name="O_687762"/>
      <w:bookmarkEnd w:id="11"/>
      <w:r w:rsidRPr="00CE0585">
        <w:t>Assessment Conditions</w:t>
      </w:r>
    </w:p>
    <w:p w:rsidR="00000000" w:rsidRPr="00CE0585" w:rsidP="00CE0585">
      <w:pPr>
        <w:pStyle w:val="ListBullet"/>
      </w:pPr>
      <w:r w:rsidRPr="00CE0585">
        <w:t>An assessor of this unit must satisfy the requirements of the NVR/AQTF or their successors; and Industry regulations for certification and licensin</w:t>
      </w:r>
      <w:r w:rsidRPr="00CE0585">
        <w:t xml:space="preserve">g; and, </w:t>
      </w:r>
    </w:p>
    <w:p w:rsidR="00000000" w:rsidRPr="00CE0585" w:rsidP="00CE0585">
      <w:pPr>
        <w:pStyle w:val="ListBullet"/>
      </w:pPr>
      <w:r w:rsidRPr="00CE0585">
        <w:t>this unit must be assessed in the context of this sector’s work environment; and,</w:t>
      </w:r>
    </w:p>
    <w:p w:rsidR="00000000" w:rsidRPr="00CE0585" w:rsidP="00CE0585">
      <w:pPr>
        <w:pStyle w:val="ListBullet"/>
      </w:pPr>
      <w:r w:rsidRPr="00CE0585">
        <w:t>this unit must be assessed in compliance with relevant legislation/regulation and using policies, procedures, processes and operational manuals directly related to the industry sector for which it is being assessed; and,</w:t>
      </w:r>
    </w:p>
    <w:p w:rsidR="00000000" w:rsidRPr="00CE0585" w:rsidP="00CE0585">
      <w:pPr>
        <w:pStyle w:val="ListBullet"/>
      </w:pPr>
      <w:r w:rsidRPr="00CE0585">
        <w:t>assessment may be conducted in conj</w:t>
      </w:r>
      <w:r w:rsidRPr="00CE0585">
        <w:t>unction with the assessment of other Units of Competency; and,</w:t>
      </w:r>
    </w:p>
    <w:p w:rsidR="00000000" w:rsidRPr="00CE0585" w:rsidP="00CE0585">
      <w:pPr>
        <w:pStyle w:val="ListBullet"/>
      </w:pPr>
      <w:r w:rsidRPr="00CE0585">
        <w:t>assessment must confirm consistent performance can be applied in a range of relevant workplace circumstances; and,</w:t>
      </w:r>
    </w:p>
    <w:p w:rsidR="00000000" w:rsidRPr="00CE0585" w:rsidP="00CE0585">
      <w:pPr>
        <w:pStyle w:val="ListBullet"/>
      </w:pPr>
      <w:r w:rsidRPr="00CE0585">
        <w:t>assessors must demonstrate the performance evidence, and knowledge evidence as</w:t>
      </w:r>
      <w:r w:rsidRPr="00CE0585">
        <w:t xml:space="preserve"> outlined in this Unit of Competency, and through the minimum years of current* work experience specified below in an Industry sector relevant to the outcomes of the unit; or,</w:t>
      </w:r>
    </w:p>
    <w:p w:rsidR="00000000" w:rsidRPr="00CE0585" w:rsidP="00CE0585">
      <w:pPr>
        <w:pStyle w:val="ListBullet"/>
      </w:pPr>
      <w:r w:rsidRPr="00CE0585">
        <w:t>where the assessor does not meet experience requirements a co-assessment or part</w:t>
      </w:r>
      <w:r w:rsidRPr="00CE0585">
        <w:t>nership arrangement must exist between the qualified assessor and an Industry subject matter expert. The Industry subject matter expert should hold the unit being assessed (or an equivalent unit) and/or demonstrate equivalence of skills and knowledge at th</w:t>
      </w:r>
      <w:r w:rsidRPr="00CE058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CE0585" w:rsidP="00CE0585">
      <w:pPr>
        <w:pStyle w:val="ListBullet"/>
      </w:pPr>
      <w:r w:rsidRPr="00CE0585">
        <w:t xml:space="preserve">assessor </w:t>
      </w:r>
      <w:r w:rsidRPr="00CE058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E05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SubHeading1"/>
              <w:rPr>
                <w:lang w:val="en-NZ"/>
              </w:rPr>
            </w:pPr>
            <w:r w:rsidRPr="00CE058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SubHeading1"/>
              <w:rPr>
                <w:lang w:val="en-NZ"/>
              </w:rPr>
            </w:pPr>
            <w:r w:rsidRPr="00CE058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SubHeading1"/>
              <w:rPr>
                <w:lang w:val="en-NZ"/>
              </w:rPr>
            </w:pPr>
            <w:r w:rsidRPr="00CE0585">
              <w:t>Required assessor or Industry subject</w:t>
            </w:r>
            <w:r w:rsidRPr="00CE0585">
              <w:t xml:space="preserve"> matter expert experience</w:t>
            </w:r>
          </w:p>
        </w:tc>
      </w:tr>
      <w:tr w:rsidTr="00CE058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1 Year</w:t>
            </w:r>
          </w:p>
        </w:tc>
      </w:tr>
      <w:tr w:rsidTr="00CE058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2 Years</w:t>
            </w:r>
          </w:p>
        </w:tc>
      </w:tr>
      <w:tr w:rsidTr="00CE05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3 Years</w:t>
            </w:r>
          </w:p>
        </w:tc>
      </w:tr>
      <w:tr w:rsidTr="00CE05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5 Years</w:t>
            </w:r>
          </w:p>
        </w:tc>
      </w:tr>
      <w:tr w:rsidTr="00CE058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0585">
            <w:pPr>
              <w:pStyle w:val="BodyText"/>
              <w:rPr>
                <w:lang w:val="en-NZ"/>
              </w:rPr>
            </w:pPr>
            <w:r w:rsidRPr="00CE058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0585" w:rsidP="00CE0585">
            <w:pPr>
              <w:pStyle w:val="BodyText"/>
            </w:pPr>
            <w:r w:rsidRPr="00CE0585">
              <w:t>Where this Unit is being assessed outside of the Resources and Infrastructure Sectors assessor and/or Industry subject matter expert experience should be in-line with industry standards for the sector in which it is being assessed an</w:t>
            </w:r>
            <w:r w:rsidRPr="00CE0585">
              <w:t>d where no Industry standard is specified should comply with any relevant regulation.</w:t>
            </w:r>
          </w:p>
        </w:tc>
      </w:tr>
    </w:tbl>
    <w:p w:rsidR="00000000" w:rsidRPr="00CE0585" w:rsidP="003D3CA5">
      <w:pPr>
        <w:pStyle w:val="BodyText"/>
      </w:pPr>
      <w:r w:rsidRPr="00CE0585">
        <w:t>*Assessors can demonstrate current work experience through employment within Industry in a role relevant to the outcomes of the Unit; or, for external assessors this ca</w:t>
      </w:r>
      <w:r w:rsidRPr="00CE0585">
        <w:t>n be demonstrated through exposure to Industry by conducting frequent site assessments across various locations.</w:t>
      </w:r>
    </w:p>
    <w:p w:rsidR="003D3CA5" w:rsidP="003D3CA5">
      <w:pPr>
        <w:pStyle w:val="BodyText"/>
      </w:pPr>
      <w:r w:rsidRPr="00CE0585">
        <w:t xml:space="preserve">**Where a unit is being delivered outside of a Qualification the first numeric character in the Unit code should be considered to indicate the </w:t>
      </w:r>
      <w:r w:rsidRPr="00CE0585">
        <w:t>AQF level</w:t>
      </w:r>
    </w:p>
    <w:p w:rsidR="00000000" w:rsidRPr="00CE0585" w:rsidP="00CE0585">
      <w:pPr>
        <w:pStyle w:val="Heading1"/>
      </w:pPr>
      <w:bookmarkStart w:id="12" w:name="O_687783"/>
      <w:bookmarkEnd w:id="12"/>
      <w:r w:rsidRPr="00CE0585">
        <w:t>Links</w:t>
      </w:r>
    </w:p>
    <w:p w:rsidR="00000000" w:rsidRPr="00CE0585" w:rsidP="003D3CA5">
      <w:pPr>
        <w:pStyle w:val="BodyText"/>
      </w:pPr>
      <w:r w:rsidRPr="00CE05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4202">
        <w:rPr>
          <w:rStyle w:val="Hyperlink"/>
        </w:rPr>
        <w:t>https://vetnet.gov.au/Pages/TrainingDocs.aspx?q=88a61002-9a21-4386-aaf8-69c76e675272</w:t>
      </w:r>
      <w:r>
        <w:fldChar w:fldCharType="end"/>
      </w:r>
    </w:p>
    <w:p w:rsidR="00000000" w:rsidRPr="00CE0585" w:rsidP="00CE0585"/>
    <w:sectPr w:rsidSect="00CE05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rsidRPr="003D3CA5" w:rsidP="003D3C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A5" w:rsidP="00CE0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3CA5" w:rsidP="00CE05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3CA5" w:rsidP="00CE05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rsidP="00CE0585">
    <w:pPr>
      <w:pStyle w:val="Footer"/>
      <w:framePr w:wrap="around"/>
    </w:pPr>
    <w:r>
      <w:fldChar w:fldCharType="begin"/>
    </w:r>
    <w:r>
      <w:instrText xml:space="preserve"> DOCPROPERTY  Subject  \* MERGEFORMAT </w:instrText>
    </w:r>
    <w:r>
      <w:fldChar w:fldCharType="separate"/>
    </w:r>
    <w:r w:rsidR="003D3CA5">
      <w:t>Approved</w:t>
    </w:r>
    <w:r w:rsidR="003D3CA5">
      <w:fldChar w:fldCharType="end"/>
    </w:r>
    <w:r>
      <w:tab/>
      <w:t xml:space="preserve">Page </w:t>
    </w:r>
    <w:r>
      <w:fldChar w:fldCharType="begin"/>
    </w:r>
    <w:r>
      <w:instrText xml:space="preserve"> PAGE  \* Arabic  \* MERGEFORMAT </w:instrText>
    </w:r>
    <w:r>
      <w:fldChar w:fldCharType="separate"/>
    </w:r>
    <w:r w:rsidR="003D3C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CA5">
      <w:rPr>
        <w:noProof/>
      </w:rPr>
      <w:t>4</w:t>
    </w:r>
    <w:r>
      <w:rPr>
        <w:noProof/>
      </w:rPr>
      <w:fldChar w:fldCharType="end"/>
    </w:r>
  </w:p>
  <w:p w:rsidR="00CE0585" w:rsidP="00CE0585">
    <w:pPr>
      <w:pStyle w:val="Footer"/>
      <w:framePr w:wrap="around"/>
    </w:pPr>
    <w:r>
      <w:t xml:space="preserve">© Commonwealth of Australia, </w:t>
    </w:r>
    <w:r>
      <w:fldChar w:fldCharType="begin"/>
    </w:r>
    <w:r>
      <w:instrText xml:space="preserve"> DATE  \@ "yyyy"  \* MERGEFORMAT </w:instrText>
    </w:r>
    <w:r>
      <w:fldChar w:fldCharType="separate"/>
    </w:r>
    <w:r w:rsidR="003D3CA5">
      <w:rPr>
        <w:noProof/>
      </w:rPr>
      <w:t>2025</w:t>
    </w:r>
    <w:r>
      <w:fldChar w:fldCharType="end"/>
    </w:r>
    <w:r>
      <w:tab/>
    </w:r>
    <w:r>
      <w:fldChar w:fldCharType="begin"/>
    </w:r>
    <w:r>
      <w:instrText xml:space="preserve"> DOCPROPERTY  Author  \* MERGEFORMAT </w:instrText>
    </w:r>
    <w:r>
      <w:fldChar w:fldCharType="separate"/>
    </w:r>
    <w:r w:rsidR="003D3CA5">
      <w:t>Mining and Automotive Skills Alliance</w:t>
    </w:r>
    <w:r w:rsidR="003D3CA5">
      <w:fldChar w:fldCharType="end"/>
    </w:r>
  </w:p>
  <w:p w:rsidR="00CE0585" w:rsidP="00CE0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585" w:rsidRPr="003D3CA5" w:rsidP="003D3C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A5" w:rsidRPr="002D2AF8" w:rsidP="00CE0585">
    <w:pPr>
      <w:pStyle w:val="Header"/>
      <w:framePr w:wrap="around"/>
    </w:pPr>
    <w:r>
      <w:fldChar w:fldCharType="begin"/>
    </w:r>
    <w:r>
      <w:instrText xml:space="preserve"> TITLE   \* MERGEFORMAT </w:instrText>
    </w:r>
    <w:r>
      <w:fldChar w:fldCharType="separate"/>
    </w:r>
    <w:r>
      <w:t>RIIPRE204D Sinter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3CA5" w:rsidP="00CE05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585" w:rsidRPr="002D2AF8" w:rsidP="00CE0585">
    <w:pPr>
      <w:pStyle w:val="Header"/>
      <w:framePr w:wrap="around"/>
    </w:pPr>
    <w:r>
      <w:fldChar w:fldCharType="begin"/>
    </w:r>
    <w:r>
      <w:instrText xml:space="preserve"> TITLE   \* MERGEFORMAT </w:instrText>
    </w:r>
    <w:r>
      <w:fldChar w:fldCharType="separate"/>
    </w:r>
    <w:r w:rsidR="003D3CA5">
      <w:t>RIIPRE204D Sinter materials</w:t>
    </w:r>
    <w:r w:rsidR="003D3CA5">
      <w:fldChar w:fldCharType="end"/>
    </w:r>
    <w:r>
      <w:tab/>
      <w:t xml:space="preserve">Date this document was generated: </w:t>
    </w:r>
    <w:r>
      <w:fldChar w:fldCharType="begin"/>
    </w:r>
    <w:r>
      <w:instrText xml:space="preserve"> CREATEDATE  \@ "d MMMM yyyy"  \* MERGEFORMAT </w:instrText>
    </w:r>
    <w:r>
      <w:fldChar w:fldCharType="separate"/>
    </w:r>
    <w:r w:rsidR="003D3CA5">
      <w:rPr>
        <w:noProof/>
      </w:rPr>
      <w:t>2 March 2025</w:t>
    </w:r>
    <w:r>
      <w:fldChar w:fldCharType="end"/>
    </w:r>
  </w:p>
  <w:p w:rsidR="00CE0585" w:rsidP="00CE0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F65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663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C1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585"/>
    <w:pPr>
      <w:spacing w:before="360" w:after="60"/>
      <w:outlineLvl w:val="0"/>
    </w:pPr>
    <w:rPr>
      <w:sz w:val="32"/>
    </w:rPr>
  </w:style>
  <w:style w:type="paragraph" w:styleId="Heading2">
    <w:name w:val="heading 2"/>
    <w:basedOn w:val="HeadingBase"/>
    <w:next w:val="BodyText"/>
    <w:link w:val="Heading2Char"/>
    <w:qFormat/>
    <w:rsid w:val="00CE0585"/>
    <w:pPr>
      <w:keepLines/>
      <w:spacing w:before="240" w:after="120"/>
      <w:outlineLvl w:val="1"/>
    </w:pPr>
    <w:rPr>
      <w:sz w:val="28"/>
      <w:szCs w:val="40"/>
    </w:rPr>
  </w:style>
  <w:style w:type="paragraph" w:styleId="Heading3">
    <w:name w:val="heading 3"/>
    <w:basedOn w:val="HeadingBase"/>
    <w:next w:val="BodyText"/>
    <w:link w:val="Heading3Char"/>
    <w:qFormat/>
    <w:rsid w:val="00CE0585"/>
    <w:pPr>
      <w:spacing w:before="180" w:after="120"/>
      <w:outlineLvl w:val="2"/>
    </w:pPr>
    <w:rPr>
      <w:spacing w:val="-10"/>
      <w:kern w:val="32"/>
    </w:rPr>
  </w:style>
  <w:style w:type="paragraph" w:styleId="Heading4">
    <w:name w:val="heading 4"/>
    <w:basedOn w:val="HeadingBase"/>
    <w:next w:val="BodyText"/>
    <w:link w:val="Heading4Char"/>
    <w:qFormat/>
    <w:rsid w:val="00CE0585"/>
    <w:pPr>
      <w:spacing w:before="160" w:after="120"/>
      <w:outlineLvl w:val="3"/>
    </w:pPr>
    <w:rPr>
      <w:sz w:val="22"/>
    </w:rPr>
  </w:style>
  <w:style w:type="paragraph" w:styleId="Heading5">
    <w:name w:val="heading 5"/>
    <w:basedOn w:val="HeadingBase"/>
    <w:next w:val="Normal"/>
    <w:link w:val="Heading5Char"/>
    <w:qFormat/>
    <w:rsid w:val="00CE0585"/>
    <w:pPr>
      <w:spacing w:before="80"/>
      <w:outlineLvl w:val="4"/>
    </w:pPr>
    <w:rPr>
      <w:color w:val="918585"/>
      <w:sz w:val="20"/>
    </w:rPr>
  </w:style>
  <w:style w:type="paragraph" w:styleId="Heading6">
    <w:name w:val="heading 6"/>
    <w:basedOn w:val="HeadingBase"/>
    <w:next w:val="Normal"/>
    <w:link w:val="Heading6Char"/>
    <w:qFormat/>
    <w:rsid w:val="00CE0585"/>
    <w:pPr>
      <w:spacing w:before="60"/>
      <w:outlineLvl w:val="5"/>
    </w:pPr>
    <w:rPr>
      <w:color w:val="918585"/>
      <w:sz w:val="20"/>
    </w:rPr>
  </w:style>
  <w:style w:type="paragraph" w:styleId="Heading7">
    <w:name w:val="heading 7"/>
    <w:basedOn w:val="Normal"/>
    <w:next w:val="Normal"/>
    <w:link w:val="Heading7Char"/>
    <w:qFormat/>
    <w:rsid w:val="00CE0585"/>
    <w:pPr>
      <w:ind w:left="720"/>
      <w:outlineLvl w:val="6"/>
    </w:pPr>
    <w:rPr>
      <w:i/>
    </w:rPr>
  </w:style>
  <w:style w:type="paragraph" w:styleId="Heading8">
    <w:name w:val="heading 8"/>
    <w:basedOn w:val="Normal"/>
    <w:next w:val="Normal"/>
    <w:link w:val="Heading8Char"/>
    <w:qFormat/>
    <w:rsid w:val="00CE0585"/>
    <w:pPr>
      <w:ind w:left="720"/>
      <w:outlineLvl w:val="7"/>
    </w:pPr>
    <w:rPr>
      <w:i/>
    </w:rPr>
  </w:style>
  <w:style w:type="paragraph" w:styleId="Heading9">
    <w:name w:val="heading 9"/>
    <w:basedOn w:val="Normal"/>
    <w:next w:val="Normal"/>
    <w:link w:val="Heading9Char"/>
    <w:qFormat/>
    <w:rsid w:val="00CE0585"/>
    <w:pPr>
      <w:ind w:left="720"/>
      <w:outlineLvl w:val="8"/>
    </w:pPr>
    <w:rPr>
      <w:i/>
    </w:rPr>
  </w:style>
  <w:style w:type="character" w:default="1" w:styleId="DefaultParagraphFont">
    <w:name w:val="Default Paragraph Font"/>
    <w:uiPriority w:val="1"/>
    <w:unhideWhenUsed/>
    <w:rsid w:val="00CE0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585"/>
  </w:style>
  <w:style w:type="character" w:customStyle="1" w:styleId="Heading1Char">
    <w:name w:val="Heading 1 Char"/>
    <w:basedOn w:val="DefaultParagraphFont"/>
    <w:link w:val="Heading1"/>
    <w:rsid w:val="00CE05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0585"/>
    <w:rPr>
      <w:rFonts w:ascii="Times New Roman" w:eastAsia="Times New Roman" w:hAnsi="Times New Roman" w:cs="Times New Roman"/>
      <w:b/>
      <w:szCs w:val="20"/>
      <w:lang w:eastAsia="en-US"/>
    </w:rPr>
  </w:style>
  <w:style w:type="paragraph" w:styleId="BodyText">
    <w:name w:val="Body Text"/>
    <w:basedOn w:val="Normal"/>
    <w:link w:val="BodyTextChar"/>
    <w:rsid w:val="00CE0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585"/>
    <w:rPr>
      <w:rFonts w:ascii="Times New Roman" w:eastAsia="Times New Roman" w:hAnsi="Times New Roman" w:cs="Times New Roman"/>
      <w:sz w:val="24"/>
      <w:lang w:eastAsia="en-US"/>
    </w:rPr>
  </w:style>
  <w:style w:type="paragraph" w:styleId="ListBullet">
    <w:name w:val="List Bullet"/>
    <w:basedOn w:val="List"/>
    <w:rsid w:val="00CE0585"/>
    <w:pPr>
      <w:numPr>
        <w:numId w:val="13"/>
      </w:numPr>
      <w:tabs>
        <w:tab w:val="clear" w:pos="340"/>
      </w:tabs>
      <w:spacing w:before="40" w:after="40"/>
    </w:pPr>
  </w:style>
  <w:style w:type="paragraph" w:styleId="ListBullet2">
    <w:name w:val="List Bullet 2"/>
    <w:basedOn w:val="List2"/>
    <w:rsid w:val="00CE0585"/>
    <w:pPr>
      <w:numPr>
        <w:numId w:val="14"/>
      </w:numPr>
      <w:tabs>
        <w:tab w:val="clear" w:pos="680"/>
      </w:tabs>
    </w:pPr>
  </w:style>
  <w:style w:type="paragraph" w:customStyle="1" w:styleId="SuperHeading">
    <w:name w:val="SuperHeading"/>
    <w:basedOn w:val="Normal"/>
    <w:rsid w:val="00CE0585"/>
    <w:pPr>
      <w:spacing w:before="240" w:after="120"/>
      <w:outlineLvl w:val="0"/>
    </w:pPr>
    <w:rPr>
      <w:rFonts w:ascii="Times New Roman" w:hAnsi="Times New Roman"/>
      <w:b/>
      <w:sz w:val="32"/>
    </w:rPr>
  </w:style>
  <w:style w:type="paragraph" w:customStyle="1" w:styleId="AllowPageBreak">
    <w:name w:val="AllowPageBreak"/>
    <w:rsid w:val="00CE05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E0585"/>
    <w:pPr>
      <w:spacing w:before="240" w:after="60"/>
    </w:pPr>
    <w:rPr>
      <w:color w:val="918585"/>
      <w:sz w:val="22"/>
    </w:rPr>
  </w:style>
  <w:style w:type="paragraph" w:styleId="ListBullet3">
    <w:name w:val="List Bullet 3"/>
    <w:basedOn w:val="List3"/>
    <w:rsid w:val="00CE0585"/>
    <w:pPr>
      <w:numPr>
        <w:numId w:val="3"/>
      </w:numPr>
      <w:tabs>
        <w:tab w:val="clear" w:pos="1021"/>
      </w:tabs>
      <w:ind w:left="1037" w:hanging="357"/>
    </w:pPr>
  </w:style>
  <w:style w:type="character" w:customStyle="1" w:styleId="Heading2Char">
    <w:name w:val="Heading 2 Char"/>
    <w:basedOn w:val="DefaultParagraphFont"/>
    <w:link w:val="Heading2"/>
    <w:rsid w:val="00CE0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5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0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585"/>
    <w:rPr>
      <w:rFonts w:ascii="Courier New" w:eastAsia="Times New Roman" w:hAnsi="Courier New" w:cs="Times New Roman"/>
      <w:i/>
      <w:szCs w:val="20"/>
      <w:lang w:eastAsia="en-US"/>
    </w:rPr>
  </w:style>
  <w:style w:type="paragraph" w:customStyle="1" w:styleId="HeadingBase">
    <w:name w:val="Heading Base"/>
    <w:rsid w:val="00CE0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585"/>
    <w:pPr>
      <w:tabs>
        <w:tab w:val="right" w:leader="dot" w:pos="9072"/>
      </w:tabs>
      <w:ind w:left="567"/>
    </w:pPr>
    <w:rPr>
      <w:szCs w:val="22"/>
    </w:rPr>
  </w:style>
  <w:style w:type="paragraph" w:customStyle="1" w:styleId="TOCBase">
    <w:name w:val="TOC Base"/>
    <w:rsid w:val="00CE0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585"/>
    <w:pPr>
      <w:tabs>
        <w:tab w:val="right" w:leader="dot" w:pos="9072"/>
      </w:tabs>
      <w:spacing w:before="40" w:after="40"/>
      <w:ind w:left="284"/>
    </w:pPr>
    <w:rPr>
      <w:rFonts w:ascii="Times New Roman" w:hAnsi="Times New Roman"/>
    </w:rPr>
  </w:style>
  <w:style w:type="paragraph" w:styleId="TOC1">
    <w:name w:val="toc 1"/>
    <w:basedOn w:val="TOCBase"/>
    <w:next w:val="Normal"/>
    <w:rsid w:val="00CE0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585"/>
    <w:rPr>
      <w:rFonts w:ascii="Times New Roman" w:eastAsia="Times New Roman" w:hAnsi="Times New Roman" w:cs="Times New Roman"/>
      <w:sz w:val="16"/>
      <w:lang w:eastAsia="en-US"/>
    </w:rPr>
  </w:style>
  <w:style w:type="paragraph" w:styleId="Title">
    <w:name w:val="Title"/>
    <w:basedOn w:val="HeadingBase"/>
    <w:link w:val="TitleChar"/>
    <w:qFormat/>
    <w:rsid w:val="00CE0585"/>
    <w:pPr>
      <w:spacing w:before="5040"/>
      <w:jc w:val="center"/>
    </w:pPr>
    <w:rPr>
      <w:sz w:val="48"/>
      <w:szCs w:val="72"/>
      <w:lang w:val="en-US"/>
    </w:rPr>
  </w:style>
  <w:style w:type="character" w:customStyle="1" w:styleId="TitleChar">
    <w:name w:val="Title Char"/>
    <w:basedOn w:val="DefaultParagraphFont"/>
    <w:link w:val="Title"/>
    <w:rsid w:val="00CE0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585"/>
    <w:pPr>
      <w:tabs>
        <w:tab w:val="left" w:pos="3600"/>
        <w:tab w:val="left" w:pos="3958"/>
      </w:tabs>
    </w:pPr>
  </w:style>
  <w:style w:type="paragraph" w:styleId="List">
    <w:name w:val="List"/>
    <w:basedOn w:val="BodyText"/>
    <w:next w:val="BodyText"/>
    <w:rsid w:val="00CE0585"/>
    <w:pPr>
      <w:tabs>
        <w:tab w:val="left" w:pos="340"/>
      </w:tabs>
      <w:spacing w:before="60" w:after="60"/>
      <w:ind w:left="340" w:hanging="340"/>
    </w:pPr>
  </w:style>
  <w:style w:type="paragraph" w:customStyle="1" w:styleId="Note">
    <w:name w:val="Note"/>
    <w:basedOn w:val="BodyText"/>
    <w:rsid w:val="00CE05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0585"/>
    <w:rPr>
      <w:b/>
      <w:spacing w:val="0"/>
    </w:rPr>
  </w:style>
  <w:style w:type="paragraph" w:customStyle="1" w:styleId="SuperTitle">
    <w:name w:val="SuperTitle"/>
    <w:basedOn w:val="Title"/>
    <w:rsid w:val="00CE0585"/>
    <w:pPr>
      <w:framePr w:wrap="auto" w:hAnchor="text" w:y="6049"/>
    </w:pPr>
    <w:rPr>
      <w:color w:val="000000"/>
      <w:sz w:val="40"/>
    </w:rPr>
  </w:style>
  <w:style w:type="paragraph" w:customStyle="1" w:styleId="TOCTitle">
    <w:name w:val="TOCTitle"/>
    <w:basedOn w:val="Heading1"/>
    <w:rsid w:val="00CE0585"/>
    <w:pPr>
      <w:spacing w:after="240"/>
      <w:jc w:val="center"/>
      <w:outlineLvl w:val="9"/>
    </w:pPr>
    <w:rPr>
      <w:caps/>
    </w:rPr>
  </w:style>
  <w:style w:type="paragraph" w:customStyle="1" w:styleId="Version">
    <w:name w:val="Version"/>
    <w:rsid w:val="00CE0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0585"/>
    <w:pPr>
      <w:keepNext w:val="0"/>
      <w:tabs>
        <w:tab w:val="right" w:pos="4176"/>
      </w:tabs>
      <w:ind w:left="198" w:hanging="198"/>
    </w:pPr>
    <w:rPr>
      <w:rFonts w:ascii="Garamond" w:hAnsi="Garamond"/>
    </w:rPr>
  </w:style>
  <w:style w:type="paragraph" w:styleId="IndexHeading">
    <w:name w:val="index heading"/>
    <w:basedOn w:val="Normal"/>
    <w:next w:val="Index1"/>
    <w:semiHidden/>
    <w:rsid w:val="00CE0585"/>
    <w:pPr>
      <w:spacing w:before="120" w:after="120"/>
    </w:pPr>
    <w:rPr>
      <w:rFonts w:ascii="Arial" w:hAnsi="Arial"/>
      <w:b/>
      <w:color w:val="918585"/>
      <w:sz w:val="24"/>
    </w:rPr>
  </w:style>
  <w:style w:type="paragraph" w:styleId="Header">
    <w:name w:val="header"/>
    <w:basedOn w:val="Normal"/>
    <w:link w:val="HeaderChar"/>
    <w:rsid w:val="00CE0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585"/>
    <w:rPr>
      <w:rFonts w:ascii="Times New Roman" w:eastAsia="Times New Roman" w:hAnsi="Times New Roman" w:cs="Times New Roman"/>
      <w:sz w:val="16"/>
      <w:szCs w:val="20"/>
      <w:lang w:val="en-GB" w:eastAsia="en-US"/>
    </w:rPr>
  </w:style>
  <w:style w:type="paragraph" w:customStyle="1" w:styleId="Chapter">
    <w:name w:val="Chapter"/>
    <w:basedOn w:val="Normal"/>
    <w:rsid w:val="00CE0585"/>
    <w:pPr>
      <w:spacing w:before="240"/>
    </w:pPr>
    <w:rPr>
      <w:rFonts w:ascii="Times New Roman" w:hAnsi="Times New Roman"/>
      <w:smallCaps/>
      <w:spacing w:val="80"/>
      <w:sz w:val="28"/>
    </w:rPr>
  </w:style>
  <w:style w:type="paragraph" w:customStyle="1" w:styleId="InChapter">
    <w:name w:val="InChapter"/>
    <w:basedOn w:val="Heading3"/>
    <w:rsid w:val="00CE0585"/>
    <w:pPr>
      <w:spacing w:after="240"/>
      <w:outlineLvl w:val="9"/>
    </w:pPr>
    <w:rPr>
      <w:noProof/>
    </w:rPr>
  </w:style>
  <w:style w:type="paragraph" w:styleId="Index2">
    <w:name w:val="index 2"/>
    <w:basedOn w:val="Normal"/>
    <w:next w:val="Normal"/>
    <w:semiHidden/>
    <w:rsid w:val="00CE0585"/>
    <w:pPr>
      <w:tabs>
        <w:tab w:val="right" w:pos="4176"/>
      </w:tabs>
      <w:ind w:left="568" w:hanging="284"/>
    </w:pPr>
    <w:rPr>
      <w:rFonts w:ascii="Garamond" w:hAnsi="Garamond"/>
    </w:rPr>
  </w:style>
  <w:style w:type="paragraph" w:customStyle="1" w:styleId="Byline">
    <w:name w:val="Byline"/>
    <w:rsid w:val="00CE0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585"/>
    <w:pPr>
      <w:tabs>
        <w:tab w:val="clear" w:pos="3600"/>
        <w:tab w:val="clear" w:pos="3958"/>
      </w:tabs>
      <w:jc w:val="right"/>
    </w:pPr>
  </w:style>
  <w:style w:type="character" w:styleId="Emphasis">
    <w:name w:val="Emphasis"/>
    <w:basedOn w:val="DefaultParagraphFont"/>
    <w:qFormat/>
    <w:rsid w:val="00CE0585"/>
    <w:rPr>
      <w:i/>
    </w:rPr>
  </w:style>
  <w:style w:type="paragraph" w:styleId="Caption">
    <w:name w:val="caption"/>
    <w:basedOn w:val="BodyText"/>
    <w:next w:val="Normal"/>
    <w:qFormat/>
    <w:rsid w:val="00CE0585"/>
    <w:pPr>
      <w:framePr w:w="2268" w:hSpace="181" w:vSpace="181" w:wrap="around" w:vAnchor="text" w:hAnchor="page" w:x="1135" w:y="285" w:anchorLock="1"/>
    </w:pPr>
    <w:rPr>
      <w:i/>
    </w:rPr>
  </w:style>
  <w:style w:type="paragraph" w:customStyle="1" w:styleId="MiniTOCTitle">
    <w:name w:val="MiniTOCTitle"/>
    <w:basedOn w:val="Heading4"/>
    <w:rsid w:val="00CE0585"/>
    <w:pPr>
      <w:spacing w:before="240"/>
      <w:outlineLvl w:val="9"/>
    </w:pPr>
    <w:rPr>
      <w:noProof/>
      <w:sz w:val="24"/>
    </w:rPr>
  </w:style>
  <w:style w:type="paragraph" w:customStyle="1" w:styleId="MiniTOCItem">
    <w:name w:val="MiniTOCItem"/>
    <w:basedOn w:val="ListBullet"/>
    <w:rsid w:val="00CE0585"/>
    <w:pPr>
      <w:numPr>
        <w:numId w:val="0"/>
      </w:numPr>
      <w:tabs>
        <w:tab w:val="right" w:leader="dot" w:pos="6521"/>
      </w:tabs>
      <w:spacing w:before="0" w:after="0"/>
    </w:pPr>
  </w:style>
  <w:style w:type="paragraph" w:customStyle="1" w:styleId="TOFTitle">
    <w:name w:val="TOFTitle"/>
    <w:basedOn w:val="TOCTitle"/>
    <w:rsid w:val="00CE0585"/>
  </w:style>
  <w:style w:type="paragraph" w:styleId="TableofFigures">
    <w:name w:val="table of figures"/>
    <w:basedOn w:val="Normal"/>
    <w:next w:val="Normal"/>
    <w:semiHidden/>
    <w:rsid w:val="00CE0585"/>
    <w:pPr>
      <w:tabs>
        <w:tab w:val="right" w:leader="dot" w:pos="9072"/>
      </w:tabs>
      <w:ind w:left="970" w:hanging="403"/>
    </w:pPr>
    <w:rPr>
      <w:rFonts w:ascii="Times New Roman" w:hAnsi="Times New Roman"/>
      <w:b/>
    </w:rPr>
  </w:style>
  <w:style w:type="paragraph" w:styleId="ListNumber">
    <w:name w:val="List Number"/>
    <w:basedOn w:val="List"/>
    <w:rsid w:val="00CE0585"/>
    <w:pPr>
      <w:numPr>
        <w:numId w:val="16"/>
      </w:numPr>
      <w:tabs>
        <w:tab w:val="clear" w:pos="340"/>
      </w:tabs>
    </w:pPr>
  </w:style>
  <w:style w:type="character" w:customStyle="1" w:styleId="WingdingSymbols">
    <w:name w:val="Wingding Symbols"/>
    <w:rsid w:val="00CE0585"/>
    <w:rPr>
      <w:rFonts w:ascii="Wingdings" w:hAnsi="Wingdings"/>
    </w:rPr>
  </w:style>
  <w:style w:type="paragraph" w:customStyle="1" w:styleId="TableHeading">
    <w:name w:val="Table Heading"/>
    <w:basedOn w:val="HeadingBase"/>
    <w:rsid w:val="00CE0585"/>
    <w:pPr>
      <w:keepLines/>
      <w:pBdr>
        <w:bottom w:val="single" w:sz="6" w:space="1" w:color="918585"/>
      </w:pBdr>
      <w:spacing w:before="240"/>
    </w:pPr>
  </w:style>
  <w:style w:type="character" w:customStyle="1" w:styleId="HotSpot">
    <w:name w:val="HotSpot"/>
    <w:rsid w:val="00CE0585"/>
    <w:rPr>
      <w:color w:val="0033CC"/>
      <w:u w:val="none"/>
    </w:rPr>
  </w:style>
  <w:style w:type="paragraph" w:customStyle="1" w:styleId="BodyTextRight">
    <w:name w:val="Body Text Right"/>
    <w:basedOn w:val="BodyText"/>
    <w:rsid w:val="00CE0585"/>
    <w:pPr>
      <w:spacing w:before="0" w:after="0"/>
      <w:jc w:val="right"/>
    </w:pPr>
  </w:style>
  <w:style w:type="paragraph" w:styleId="Index3">
    <w:name w:val="index 3"/>
    <w:basedOn w:val="ListNumber2"/>
    <w:next w:val="Normal"/>
    <w:semiHidden/>
    <w:rsid w:val="00CE0585"/>
    <w:pPr>
      <w:numPr>
        <w:numId w:val="0"/>
      </w:numPr>
      <w:tabs>
        <w:tab w:val="right" w:leader="dot" w:pos="4176"/>
      </w:tabs>
    </w:pPr>
  </w:style>
  <w:style w:type="paragraph" w:styleId="ListNumber2">
    <w:name w:val="List Number 2"/>
    <w:basedOn w:val="List2"/>
    <w:rsid w:val="00CE0585"/>
    <w:pPr>
      <w:numPr>
        <w:numId w:val="11"/>
      </w:numPr>
      <w:tabs>
        <w:tab w:val="clear" w:pos="1060"/>
      </w:tabs>
    </w:pPr>
  </w:style>
  <w:style w:type="paragraph" w:customStyle="1" w:styleId="MarginNote">
    <w:name w:val="Margin Note"/>
    <w:basedOn w:val="BodyText"/>
    <w:rsid w:val="00CE0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585"/>
    <w:rPr>
      <w:sz w:val="32"/>
    </w:rPr>
  </w:style>
  <w:style w:type="paragraph" w:customStyle="1" w:styleId="HeadingProcedure">
    <w:name w:val="Heading Procedure"/>
    <w:basedOn w:val="HeadingBase"/>
    <w:next w:val="Normal"/>
    <w:rsid w:val="00CE0585"/>
    <w:pPr>
      <w:tabs>
        <w:tab w:val="left" w:pos="0"/>
      </w:tabs>
      <w:spacing w:before="120" w:after="60"/>
    </w:pPr>
    <w:rPr>
      <w:i/>
      <w:color w:val="918585"/>
      <w:sz w:val="22"/>
    </w:rPr>
  </w:style>
  <w:style w:type="paragraph" w:customStyle="1" w:styleId="TableBodyText">
    <w:name w:val="Table Body Text"/>
    <w:basedOn w:val="BodyText"/>
    <w:rsid w:val="00CE0585"/>
    <w:pPr>
      <w:spacing w:before="60" w:after="60"/>
    </w:pPr>
  </w:style>
  <w:style w:type="paragraph" w:styleId="ListContinue">
    <w:name w:val="List Continue"/>
    <w:basedOn w:val="List"/>
    <w:rsid w:val="00CE0585"/>
    <w:pPr>
      <w:ind w:firstLine="0"/>
    </w:pPr>
  </w:style>
  <w:style w:type="paragraph" w:customStyle="1" w:styleId="ListNote">
    <w:name w:val="List Note"/>
    <w:basedOn w:val="List"/>
    <w:rsid w:val="00CE0585"/>
    <w:pPr>
      <w:pBdr>
        <w:top w:val="single" w:sz="6" w:space="2" w:color="918585"/>
        <w:bottom w:val="single" w:sz="6" w:space="2" w:color="918585"/>
      </w:pBdr>
      <w:tabs>
        <w:tab w:val="left" w:pos="1021"/>
      </w:tabs>
      <w:ind w:firstLine="0"/>
    </w:pPr>
  </w:style>
  <w:style w:type="paragraph" w:customStyle="1" w:styleId="Warning">
    <w:name w:val="Warning"/>
    <w:basedOn w:val="BodyText"/>
    <w:rsid w:val="00CE0585"/>
    <w:pPr>
      <w:shd w:val="clear" w:color="auto" w:fill="D9D9D9"/>
      <w:tabs>
        <w:tab w:val="left" w:pos="992"/>
      </w:tabs>
      <w:ind w:left="119" w:right="119"/>
    </w:pPr>
    <w:rPr>
      <w:sz w:val="20"/>
    </w:rPr>
  </w:style>
  <w:style w:type="paragraph" w:customStyle="1" w:styleId="MarginIcons">
    <w:name w:val="Margin Icons"/>
    <w:basedOn w:val="BodyText"/>
    <w:rsid w:val="00CE0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585"/>
    <w:rPr>
      <w:rFonts w:ascii="Courier New" w:hAnsi="Courier New"/>
    </w:rPr>
  </w:style>
  <w:style w:type="paragraph" w:customStyle="1" w:styleId="NoteBullet">
    <w:name w:val="Note Bullet"/>
    <w:basedOn w:val="Note"/>
    <w:rsid w:val="00CE0585"/>
    <w:pPr>
      <w:tabs>
        <w:tab w:val="clear" w:pos="680"/>
      </w:tabs>
      <w:spacing w:before="60" w:after="60"/>
    </w:pPr>
  </w:style>
  <w:style w:type="paragraph" w:customStyle="1" w:styleId="SubHeading2">
    <w:name w:val="SubHeading2"/>
    <w:basedOn w:val="HeadingBase"/>
    <w:rsid w:val="00CE0585"/>
    <w:pPr>
      <w:spacing w:before="240" w:after="60"/>
    </w:pPr>
    <w:rPr>
      <w:sz w:val="20"/>
    </w:rPr>
  </w:style>
  <w:style w:type="paragraph" w:customStyle="1" w:styleId="SideHeading">
    <w:name w:val="Side Heading"/>
    <w:basedOn w:val="HeadingBase"/>
    <w:rsid w:val="00CE0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585"/>
    <w:pPr>
      <w:numPr>
        <w:numId w:val="12"/>
      </w:numPr>
    </w:pPr>
  </w:style>
  <w:style w:type="paragraph" w:styleId="PlainText">
    <w:name w:val="Plain Text"/>
    <w:basedOn w:val="Normal"/>
    <w:link w:val="PlainTextChar"/>
    <w:rsid w:val="00CE0585"/>
    <w:rPr>
      <w:sz w:val="20"/>
    </w:rPr>
  </w:style>
  <w:style w:type="character" w:customStyle="1" w:styleId="PlainTextChar">
    <w:name w:val="Plain Text Char"/>
    <w:basedOn w:val="DefaultParagraphFont"/>
    <w:link w:val="PlainText"/>
    <w:rsid w:val="00CE0585"/>
    <w:rPr>
      <w:rFonts w:ascii="Courier New" w:eastAsia="Times New Roman" w:hAnsi="Courier New" w:cs="Times New Roman"/>
      <w:sz w:val="20"/>
      <w:szCs w:val="20"/>
      <w:lang w:eastAsia="en-US"/>
    </w:rPr>
  </w:style>
  <w:style w:type="character" w:customStyle="1" w:styleId="MenuOption">
    <w:name w:val="Menu Option"/>
    <w:basedOn w:val="DefaultParagraphFont"/>
    <w:rsid w:val="00CE0585"/>
    <w:rPr>
      <w:b/>
      <w:smallCaps/>
    </w:rPr>
  </w:style>
  <w:style w:type="paragraph" w:customStyle="1" w:styleId="TableListNumber">
    <w:name w:val="Table List Number"/>
    <w:basedOn w:val="ListNumber"/>
    <w:rsid w:val="00CE0585"/>
    <w:pPr>
      <w:numPr>
        <w:numId w:val="0"/>
      </w:numPr>
    </w:pPr>
  </w:style>
  <w:style w:type="paragraph" w:styleId="TOC4">
    <w:name w:val="toc 4"/>
    <w:basedOn w:val="TOCBase"/>
    <w:next w:val="Normal"/>
    <w:semiHidden/>
    <w:rsid w:val="00CE0585"/>
    <w:pPr>
      <w:tabs>
        <w:tab w:val="right" w:leader="dot" w:pos="9071"/>
      </w:tabs>
      <w:ind w:left="1701"/>
    </w:pPr>
  </w:style>
  <w:style w:type="paragraph" w:customStyle="1" w:styleId="ListAlpha">
    <w:name w:val="List Alpha"/>
    <w:basedOn w:val="List"/>
    <w:rsid w:val="00CE0585"/>
    <w:pPr>
      <w:numPr>
        <w:numId w:val="10"/>
      </w:numPr>
    </w:pPr>
  </w:style>
  <w:style w:type="paragraph" w:customStyle="1" w:styleId="ListAlpha2">
    <w:name w:val="List Alpha 2"/>
    <w:basedOn w:val="List2"/>
    <w:rsid w:val="00CE0585"/>
    <w:pPr>
      <w:numPr>
        <w:numId w:val="9"/>
      </w:numPr>
    </w:pPr>
  </w:style>
  <w:style w:type="paragraph" w:styleId="List2">
    <w:name w:val="List 2"/>
    <w:basedOn w:val="BodyText"/>
    <w:rsid w:val="00CE0585"/>
    <w:pPr>
      <w:tabs>
        <w:tab w:val="left" w:pos="680"/>
      </w:tabs>
      <w:spacing w:before="60" w:after="60"/>
      <w:ind w:left="680" w:hanging="340"/>
    </w:pPr>
  </w:style>
  <w:style w:type="paragraph" w:styleId="List3">
    <w:name w:val="List 3"/>
    <w:basedOn w:val="BodyText"/>
    <w:rsid w:val="00CE0585"/>
    <w:pPr>
      <w:tabs>
        <w:tab w:val="left" w:pos="1021"/>
      </w:tabs>
      <w:spacing w:before="60" w:after="60"/>
      <w:ind w:left="1020" w:hanging="340"/>
    </w:pPr>
  </w:style>
  <w:style w:type="paragraph" w:styleId="List4">
    <w:name w:val="List 4"/>
    <w:basedOn w:val="BodyText"/>
    <w:rsid w:val="00CE0585"/>
    <w:pPr>
      <w:tabs>
        <w:tab w:val="left" w:pos="1361"/>
      </w:tabs>
      <w:spacing w:before="60" w:after="60"/>
      <w:ind w:left="1361" w:hanging="340"/>
    </w:pPr>
  </w:style>
  <w:style w:type="paragraph" w:styleId="List5">
    <w:name w:val="List 5"/>
    <w:basedOn w:val="BodyText"/>
    <w:rsid w:val="00CE0585"/>
    <w:pPr>
      <w:tabs>
        <w:tab w:val="left" w:pos="1701"/>
      </w:tabs>
      <w:spacing w:before="60" w:after="60"/>
      <w:ind w:left="1701" w:hanging="340"/>
    </w:pPr>
  </w:style>
  <w:style w:type="paragraph" w:styleId="ListBullet4">
    <w:name w:val="List Bullet 4"/>
    <w:basedOn w:val="List4"/>
    <w:rsid w:val="00CE0585"/>
    <w:pPr>
      <w:numPr>
        <w:numId w:val="4"/>
      </w:numPr>
      <w:tabs>
        <w:tab w:val="clear" w:pos="1361"/>
      </w:tabs>
    </w:pPr>
  </w:style>
  <w:style w:type="paragraph" w:styleId="ListBullet5">
    <w:name w:val="List Bullet 5"/>
    <w:basedOn w:val="List5"/>
    <w:rsid w:val="00CE0585"/>
    <w:pPr>
      <w:numPr>
        <w:numId w:val="5"/>
      </w:numPr>
    </w:pPr>
  </w:style>
  <w:style w:type="paragraph" w:styleId="ListContinue2">
    <w:name w:val="List Continue 2"/>
    <w:basedOn w:val="List2"/>
    <w:rsid w:val="00CE0585"/>
    <w:pPr>
      <w:ind w:firstLine="0"/>
    </w:pPr>
  </w:style>
  <w:style w:type="paragraph" w:styleId="ListContinue3">
    <w:name w:val="List Continue 3"/>
    <w:basedOn w:val="List3"/>
    <w:rsid w:val="00CE0585"/>
    <w:pPr>
      <w:ind w:left="1021" w:firstLine="0"/>
    </w:pPr>
  </w:style>
  <w:style w:type="paragraph" w:styleId="ListContinue4">
    <w:name w:val="List Continue 4"/>
    <w:basedOn w:val="List4"/>
    <w:rsid w:val="00CE0585"/>
    <w:pPr>
      <w:ind w:firstLine="0"/>
    </w:pPr>
  </w:style>
  <w:style w:type="paragraph" w:styleId="ListContinue5">
    <w:name w:val="List Continue 5"/>
    <w:basedOn w:val="List5"/>
    <w:rsid w:val="00CE0585"/>
    <w:pPr>
      <w:ind w:firstLine="0"/>
    </w:pPr>
  </w:style>
  <w:style w:type="paragraph" w:styleId="ListNumber3">
    <w:name w:val="List Number 3"/>
    <w:basedOn w:val="List3"/>
    <w:rsid w:val="00CE0585"/>
    <w:pPr>
      <w:numPr>
        <w:numId w:val="6"/>
      </w:numPr>
    </w:pPr>
  </w:style>
  <w:style w:type="paragraph" w:styleId="ListNumber4">
    <w:name w:val="List Number 4"/>
    <w:basedOn w:val="List4"/>
    <w:rsid w:val="00CE0585"/>
    <w:pPr>
      <w:numPr>
        <w:numId w:val="7"/>
      </w:numPr>
    </w:pPr>
  </w:style>
  <w:style w:type="paragraph" w:styleId="ListNumber5">
    <w:name w:val="List Number 5"/>
    <w:basedOn w:val="List5"/>
    <w:rsid w:val="00CE0585"/>
    <w:pPr>
      <w:numPr>
        <w:numId w:val="8"/>
      </w:numPr>
    </w:pPr>
  </w:style>
  <w:style w:type="paragraph" w:styleId="BlockText">
    <w:name w:val="Block Text"/>
    <w:basedOn w:val="Normal"/>
    <w:rsid w:val="00CE0585"/>
    <w:pPr>
      <w:spacing w:after="120"/>
      <w:ind w:left="1440" w:right="1440"/>
    </w:pPr>
  </w:style>
  <w:style w:type="character" w:customStyle="1" w:styleId="Subscript">
    <w:name w:val="Subscript"/>
    <w:basedOn w:val="DefaultParagraphFont"/>
    <w:rsid w:val="00CE0585"/>
    <w:rPr>
      <w:sz w:val="16"/>
      <w:vertAlign w:val="subscript"/>
    </w:rPr>
  </w:style>
  <w:style w:type="character" w:customStyle="1" w:styleId="Superscript">
    <w:name w:val="Superscript"/>
    <w:basedOn w:val="DefaultParagraphFont"/>
    <w:rsid w:val="00CE0585"/>
    <w:rPr>
      <w:sz w:val="16"/>
      <w:vertAlign w:val="superscript"/>
    </w:rPr>
  </w:style>
  <w:style w:type="character" w:customStyle="1" w:styleId="Symbols">
    <w:name w:val="Symbols"/>
    <w:basedOn w:val="DefaultParagraphFont"/>
    <w:rsid w:val="00CE0585"/>
    <w:rPr>
      <w:rFonts w:ascii="Symbol" w:hAnsi="Symbol"/>
    </w:rPr>
  </w:style>
  <w:style w:type="character" w:customStyle="1" w:styleId="MenuOptions">
    <w:name w:val="Menu Options"/>
    <w:basedOn w:val="DefaultParagraphFont"/>
    <w:rsid w:val="00CE0585"/>
    <w:rPr>
      <w:rFonts w:ascii="Arial Narrow" w:hAnsi="Arial Narrow"/>
      <w:smallCaps/>
    </w:rPr>
  </w:style>
  <w:style w:type="character" w:customStyle="1" w:styleId="Buttons">
    <w:name w:val="Buttons"/>
    <w:basedOn w:val="DefaultParagraphFont"/>
    <w:rsid w:val="00CE0585"/>
    <w:rPr>
      <w:b/>
    </w:rPr>
  </w:style>
  <w:style w:type="character" w:customStyle="1" w:styleId="Underlined">
    <w:name w:val="Underlined"/>
    <w:basedOn w:val="DefaultParagraphFont"/>
    <w:rsid w:val="00CE0585"/>
    <w:rPr>
      <w:u w:val="single"/>
    </w:rPr>
  </w:style>
  <w:style w:type="paragraph" w:customStyle="1" w:styleId="TableBodyTextRight">
    <w:name w:val="Table Body Text Right"/>
    <w:basedOn w:val="TableBodyText"/>
    <w:rsid w:val="00CE0585"/>
    <w:pPr>
      <w:widowControl w:val="0"/>
      <w:autoSpaceDE w:val="0"/>
      <w:autoSpaceDN w:val="0"/>
      <w:adjustRightInd w:val="0"/>
      <w:jc w:val="right"/>
    </w:pPr>
    <w:rPr>
      <w:rFonts w:cs="Arial"/>
      <w:szCs w:val="18"/>
    </w:rPr>
  </w:style>
  <w:style w:type="paragraph" w:customStyle="1" w:styleId="CopyrightText">
    <w:name w:val="Copyright Text"/>
    <w:basedOn w:val="BodyText"/>
    <w:rsid w:val="00CE0585"/>
    <w:rPr>
      <w:sz w:val="18"/>
    </w:rPr>
  </w:style>
  <w:style w:type="paragraph" w:customStyle="1" w:styleId="BodySmallRight">
    <w:name w:val="Body Small Right"/>
    <w:basedOn w:val="BodyTextRight"/>
    <w:rsid w:val="00CE0585"/>
    <w:rPr>
      <w:sz w:val="18"/>
      <w:szCs w:val="18"/>
    </w:rPr>
  </w:style>
  <w:style w:type="paragraph" w:customStyle="1" w:styleId="MarginEdition">
    <w:name w:val="Margin Edition"/>
    <w:basedOn w:val="MarginNote"/>
    <w:rsid w:val="00CE0585"/>
    <w:pPr>
      <w:spacing w:before="0" w:after="0"/>
    </w:pPr>
    <w:rPr>
      <w:rFonts w:ascii="Times New Roman" w:hAnsi="Times New Roman"/>
      <w:color w:val="999999"/>
    </w:rPr>
  </w:style>
  <w:style w:type="paragraph" w:customStyle="1" w:styleId="Spacer">
    <w:name w:val="Spacer"/>
    <w:basedOn w:val="Normal"/>
    <w:rsid w:val="00CE0585"/>
    <w:rPr>
      <w:sz w:val="2"/>
      <w:szCs w:val="2"/>
    </w:rPr>
  </w:style>
  <w:style w:type="character" w:customStyle="1" w:styleId="Small">
    <w:name w:val="Small"/>
    <w:basedOn w:val="DefaultParagraphFont"/>
    <w:rsid w:val="00CE0585"/>
    <w:rPr>
      <w:sz w:val="16"/>
    </w:rPr>
  </w:style>
  <w:style w:type="paragraph" w:customStyle="1" w:styleId="WideTable">
    <w:name w:val="Wide Table"/>
    <w:basedOn w:val="Normal"/>
    <w:rsid w:val="00CE0585"/>
    <w:pPr>
      <w:ind w:left="-1418"/>
    </w:pPr>
    <w:rPr>
      <w:sz w:val="2"/>
      <w:szCs w:val="2"/>
    </w:rPr>
  </w:style>
  <w:style w:type="character" w:styleId="PageNumber">
    <w:name w:val="page number"/>
    <w:basedOn w:val="DefaultParagraphFont"/>
    <w:rsid w:val="00CE0585"/>
  </w:style>
  <w:style w:type="paragraph" w:styleId="Quote">
    <w:name w:val="Quote"/>
    <w:basedOn w:val="Heading1"/>
    <w:link w:val="QuoteChar"/>
    <w:qFormat/>
    <w:rsid w:val="00CE0585"/>
    <w:rPr>
      <w:b w:val="0"/>
      <w:sz w:val="72"/>
      <w:szCs w:val="72"/>
      <w:lang w:val="en-NZ"/>
    </w:rPr>
  </w:style>
  <w:style w:type="character" w:customStyle="1" w:styleId="QuoteChar">
    <w:name w:val="Quote Char"/>
    <w:basedOn w:val="DefaultParagraphFont"/>
    <w:link w:val="Quote"/>
    <w:rsid w:val="00CE0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585"/>
    <w:pPr>
      <w:pageBreakBefore/>
    </w:pPr>
  </w:style>
  <w:style w:type="paragraph" w:customStyle="1" w:styleId="Border">
    <w:name w:val="Border"/>
    <w:basedOn w:val="Normal"/>
    <w:qFormat/>
    <w:rsid w:val="00CE0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585"/>
    <w:rPr>
      <w:b/>
      <w:bCs/>
      <w:i/>
      <w:iCs/>
      <w:color w:val="auto"/>
    </w:rPr>
  </w:style>
  <w:style w:type="paragraph" w:styleId="IntenseQuote">
    <w:name w:val="Intense Quote"/>
    <w:basedOn w:val="Normal"/>
    <w:next w:val="Normal"/>
    <w:link w:val="IntenseQuoteChar"/>
    <w:uiPriority w:val="30"/>
    <w:qFormat/>
    <w:rsid w:val="00CE0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585"/>
    <w:rPr>
      <w:smallCaps/>
      <w:color w:val="auto"/>
      <w:u w:val="single"/>
    </w:rPr>
  </w:style>
  <w:style w:type="character" w:styleId="IntenseReference">
    <w:name w:val="Intense Reference"/>
    <w:basedOn w:val="DefaultParagraphFont"/>
    <w:uiPriority w:val="32"/>
    <w:qFormat/>
    <w:rsid w:val="00CE0585"/>
    <w:rPr>
      <w:b/>
      <w:bCs/>
      <w:smallCaps/>
      <w:color w:val="auto"/>
      <w:spacing w:val="5"/>
      <w:u w:val="single"/>
    </w:rPr>
  </w:style>
  <w:style w:type="paragraph" w:customStyle="1" w:styleId="2ColumnHeading">
    <w:name w:val="2Column Heading"/>
    <w:basedOn w:val="BodyText"/>
    <w:qFormat/>
    <w:rsid w:val="00CE0585"/>
    <w:pPr>
      <w:spacing w:after="60"/>
      <w:ind w:left="-2268"/>
    </w:pPr>
    <w:rPr>
      <w:b/>
    </w:rPr>
  </w:style>
  <w:style w:type="paragraph" w:customStyle="1" w:styleId="Heading1TOC">
    <w:name w:val="Heading1 TOC"/>
    <w:basedOn w:val="Normal"/>
    <w:qFormat/>
    <w:rsid w:val="00CE0585"/>
    <w:pPr>
      <w:spacing w:before="240" w:after="120"/>
    </w:pPr>
    <w:rPr>
      <w:rFonts w:ascii="Times New Roman" w:hAnsi="Times New Roman"/>
      <w:b/>
      <w:sz w:val="32"/>
    </w:rPr>
  </w:style>
  <w:style w:type="paragraph" w:customStyle="1" w:styleId="Heading2TOC">
    <w:name w:val="Heading2 TOC"/>
    <w:basedOn w:val="Normal"/>
    <w:qFormat/>
    <w:rsid w:val="00CE0585"/>
    <w:pPr>
      <w:spacing w:before="240" w:after="60"/>
    </w:pPr>
    <w:rPr>
      <w:rFonts w:ascii="Times New Roman" w:hAnsi="Times New Roman"/>
      <w:b/>
      <w:sz w:val="28"/>
    </w:rPr>
  </w:style>
  <w:style w:type="character" w:customStyle="1" w:styleId="Underline">
    <w:name w:val="Underline"/>
    <w:basedOn w:val="DefaultParagraphFont"/>
    <w:qFormat/>
    <w:rsid w:val="00CE0585"/>
    <w:rPr>
      <w:u w:val="single"/>
    </w:rPr>
  </w:style>
  <w:style w:type="character" w:customStyle="1" w:styleId="BoldandItalics">
    <w:name w:val="Bold and Italics"/>
    <w:qFormat/>
    <w:rsid w:val="00CE0585"/>
    <w:rPr>
      <w:b/>
      <w:i/>
      <w:u w:val="none"/>
    </w:rPr>
  </w:style>
  <w:style w:type="paragraph" w:styleId="BalloonText">
    <w:name w:val="Balloon Text"/>
    <w:basedOn w:val="Normal"/>
    <w:link w:val="BalloonTextChar"/>
    <w:rsid w:val="00CE0585"/>
    <w:rPr>
      <w:rFonts w:ascii="Tahoma" w:hAnsi="Tahoma" w:cs="Tahoma"/>
      <w:sz w:val="16"/>
      <w:szCs w:val="16"/>
    </w:rPr>
  </w:style>
  <w:style w:type="character" w:customStyle="1" w:styleId="BalloonTextChar">
    <w:name w:val="Balloon Text Char"/>
    <w:basedOn w:val="DefaultParagraphFont"/>
    <w:link w:val="BalloonText"/>
    <w:rsid w:val="00CE0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585"/>
    <w:rPr>
      <w:b/>
      <w:color w:val="660033"/>
      <w:spacing w:val="0"/>
    </w:rPr>
  </w:style>
  <w:style w:type="paragraph" w:customStyle="1" w:styleId="Nameditemlist">
    <w:name w:val="Named item list"/>
    <w:basedOn w:val="BodyText"/>
    <w:qFormat/>
    <w:rsid w:val="00CE0585"/>
    <w:pPr>
      <w:tabs>
        <w:tab w:val="left" w:pos="2835"/>
      </w:tabs>
      <w:ind w:left="2835" w:hanging="2835"/>
    </w:pPr>
  </w:style>
  <w:style w:type="paragraph" w:customStyle="1" w:styleId="BodyTextnopadding">
    <w:name w:val="Body Text no padding"/>
    <w:basedOn w:val="BodyText"/>
    <w:qFormat/>
    <w:rsid w:val="00CE0585"/>
    <w:pPr>
      <w:spacing w:before="0" w:after="0"/>
    </w:pPr>
  </w:style>
  <w:style w:type="paragraph" w:customStyle="1" w:styleId="BodyTextBold">
    <w:name w:val="Body Text Bold"/>
    <w:basedOn w:val="BodyText"/>
    <w:qFormat/>
    <w:rsid w:val="00CE0585"/>
    <w:rPr>
      <w:b/>
    </w:rPr>
  </w:style>
  <w:style w:type="character" w:styleId="Hyperlink">
    <w:name w:val="Hyperlink"/>
    <w:basedOn w:val="DefaultParagraphFont"/>
    <w:uiPriority w:val="99"/>
    <w:unhideWhenUsed/>
    <w:rsid w:val="003D3C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Words>
  <Characters>7450</Characters>
  <Application>Microsoft Office Word</Application>
  <DocSecurity>0</DocSecurity>
  <Lines>212</Lines>
  <Paragraphs>144</Paragraphs>
  <ScaleCrop>false</ScaleCrop>
  <Company>Author-it Software Corporation Ltd.</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RIIPRE204D Sinter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2025-03-01T14:59:00Z</dcterms:created>
  <dcterms:modified xsi:type="dcterms:W3CDTF">2025-03-01T14:59:00Z</dcterms:modified>
</cp:coreProperties>
</file>