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609" w:rsidP="00E72609">
      <w:pPr>
        <w:pStyle w:val="Title"/>
      </w:pPr>
      <w:r>
        <w:fldChar w:fldCharType="begin"/>
      </w:r>
      <w:r>
        <w:instrText xml:space="preserve"> TITLE   \* MERGEFORMAT </w:instrText>
      </w:r>
      <w:r>
        <w:fldChar w:fldCharType="separate"/>
      </w:r>
      <w:r>
        <w:t>Assessment Requirements for RIIPRE204D Sinter materials</w:t>
      </w:r>
      <w:r>
        <w:fldChar w:fldCharType="end"/>
      </w:r>
    </w:p>
    <w:p w:rsidR="00E72609" w:rsidP="00E72609">
      <w:pPr>
        <w:pStyle w:val="Version"/>
        <w:sectPr w:rsidSect="00CE00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0041" w:rsidP="00CE0041">
      <w:pPr>
        <w:pStyle w:val="SuperHeading"/>
      </w:pPr>
      <w:r w:rsidRPr="00CE0041">
        <w:t>Assessment Requirements for RIIPRE204D Sinter materials</w:t>
      </w:r>
    </w:p>
    <w:p w:rsidR="00000000" w:rsidRPr="00CE0041" w:rsidP="00CE0041">
      <w:pPr>
        <w:pStyle w:val="Heading1"/>
      </w:pPr>
      <w:bookmarkStart w:id="1" w:name="O_687765"/>
      <w:bookmarkEnd w:id="1"/>
      <w:r w:rsidRPr="00CE0041">
        <w:t>Modification History</w:t>
      </w:r>
    </w:p>
    <w:tbl>
      <w:tblPr>
        <w:tblW w:w="0" w:type="auto"/>
        <w:tblCellMar>
          <w:left w:w="62" w:type="dxa"/>
          <w:right w:w="62" w:type="dxa"/>
        </w:tblCellMar>
        <w:tblLook w:val="0000"/>
      </w:tblPr>
      <w:tblGrid>
        <w:gridCol w:w="1107"/>
        <w:gridCol w:w="8089"/>
      </w:tblGrid>
      <w:tr w:rsidTr="00E7260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041">
            <w:pPr>
              <w:pStyle w:val="Heading4"/>
              <w:rPr>
                <w:lang w:val="en-NZ"/>
              </w:rPr>
            </w:pPr>
            <w:r w:rsidRPr="00CE004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041">
            <w:pPr>
              <w:pStyle w:val="Heading4"/>
              <w:rPr>
                <w:lang w:val="en-NZ"/>
              </w:rPr>
            </w:pPr>
            <w:r w:rsidRPr="00CE0041">
              <w:t>Comment</w:t>
            </w:r>
          </w:p>
        </w:tc>
      </w:tr>
      <w:tr w:rsidTr="00E726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041">
            <w:pPr>
              <w:pStyle w:val="BodyText"/>
              <w:rPr>
                <w:lang w:val="en-NZ"/>
              </w:rPr>
            </w:pPr>
            <w:r w:rsidRPr="00CE004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041">
            <w:pPr>
              <w:pStyle w:val="BodyText"/>
              <w:rPr>
                <w:lang w:val="en-NZ"/>
              </w:rPr>
            </w:pPr>
            <w:r w:rsidRPr="00CE0041">
              <w:t>This unit replaces RIIPRE204A Sinter materials</w:t>
            </w:r>
          </w:p>
        </w:tc>
      </w:tr>
      <w:tr w:rsidTr="00E726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041">
            <w:pPr>
              <w:pStyle w:val="BodyText"/>
              <w:rPr>
                <w:lang w:val="en-NZ"/>
              </w:rPr>
            </w:pPr>
            <w:r w:rsidRPr="00CE004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041" w:rsidP="00CE0041">
            <w:pPr>
              <w:pStyle w:val="BodyText"/>
            </w:pPr>
            <w:r w:rsidRPr="00CE0041">
              <w:t>Required frequency and volume of evidence amended in Performance evidence.</w:t>
            </w:r>
          </w:p>
          <w:p w:rsidR="00000000" w:rsidRPr="00CE0041" w:rsidP="00CE0041">
            <w:pPr>
              <w:pStyle w:val="BodyText"/>
            </w:pPr>
            <w:r w:rsidRPr="00CE0041">
              <w:t>Substantial amendments made in Assessment Conditions field, including: refe</w:t>
            </w:r>
            <w:r w:rsidRPr="00CE0041">
              <w:t>rences to Industry Sectors, assessor and subject matter expert experience requirements, how assessment should be conducted and what it should confirm.</w:t>
            </w:r>
          </w:p>
        </w:tc>
      </w:tr>
    </w:tbl>
    <w:p w:rsidR="00000000" w:rsidRPr="00CE0041" w:rsidP="00CE0041">
      <w:pPr>
        <w:pStyle w:val="BodyText"/>
      </w:pPr>
    </w:p>
    <w:p w:rsidR="00000000" w:rsidRPr="00CE0041" w:rsidP="00CE0041">
      <w:pPr>
        <w:pStyle w:val="AllowPageBreak"/>
      </w:pPr>
    </w:p>
    <w:p w:rsidR="00000000" w:rsidRPr="00CE0041" w:rsidP="00CE0041">
      <w:pPr>
        <w:pStyle w:val="Heading1"/>
      </w:pPr>
      <w:bookmarkStart w:id="2" w:name="O_687764"/>
      <w:bookmarkEnd w:id="2"/>
      <w:r w:rsidRPr="00CE0041">
        <w:t>Performance Evidence</w:t>
      </w:r>
    </w:p>
    <w:p w:rsidR="00000000" w:rsidRPr="00CE0041" w:rsidP="00E72609">
      <w:pPr>
        <w:pStyle w:val="BodyText"/>
      </w:pPr>
      <w:r w:rsidRPr="00CE0041">
        <w:t>Evidence is required to be collected that demonstrates a candidate’s competency in this unit. Evidence must be relevant to the roles within this sector’s work operations and satisfy all of the requirements of the performance criteria of this unit and inclu</w:t>
      </w:r>
      <w:r w:rsidRPr="00CE0041">
        <w:t>de evidence that the candidate:</w:t>
      </w:r>
    </w:p>
    <w:p w:rsidR="00000000" w:rsidRPr="00CE0041" w:rsidP="00CE0041">
      <w:pPr>
        <w:pStyle w:val="ListBullet2"/>
      </w:pPr>
      <w:r w:rsidRPr="00CE0041">
        <w:t>locates and applies relevant documentation, policies and procedures</w:t>
      </w:r>
    </w:p>
    <w:p w:rsidR="00000000" w:rsidRPr="00CE0041" w:rsidP="00CE0041">
      <w:pPr>
        <w:pStyle w:val="ListBullet2"/>
      </w:pPr>
      <w:r w:rsidRPr="00CE0041">
        <w:t>implements the requirements, procedures and techniques for the safe, effective and efficient completion of materials sintering including:</w:t>
      </w:r>
    </w:p>
    <w:p w:rsidR="00000000" w:rsidRPr="00CE0041" w:rsidP="00CE0041">
      <w:pPr>
        <w:pStyle w:val="ListBullet3"/>
      </w:pPr>
      <w:r w:rsidRPr="00CE0041">
        <w:t xml:space="preserve">identifying and </w:t>
      </w:r>
      <w:r w:rsidRPr="00CE0041">
        <w:t>applying environmental processes</w:t>
      </w:r>
    </w:p>
    <w:p w:rsidR="00000000" w:rsidRPr="00CE0041" w:rsidP="00CE0041">
      <w:pPr>
        <w:pStyle w:val="ListBullet3"/>
      </w:pPr>
      <w:r w:rsidRPr="00CE0041">
        <w:t>identifying and managing hazards affecting the sinter of materials</w:t>
      </w:r>
    </w:p>
    <w:p w:rsidR="00000000" w:rsidRPr="00CE0041" w:rsidP="00CE0041">
      <w:pPr>
        <w:pStyle w:val="ListBullet"/>
      </w:pPr>
      <w:r w:rsidRPr="00CE0041">
        <w:t>demonstrates completion of materials sintering that safely, effectively and efficiently meets all of the required outcomes on more than one (1) occasion in</w:t>
      </w:r>
      <w:r w:rsidRPr="00CE0041">
        <w:t>cluding:</w:t>
      </w:r>
    </w:p>
    <w:p w:rsidR="00000000" w:rsidRPr="00CE0041" w:rsidP="00CE0041">
      <w:pPr>
        <w:pStyle w:val="ListBullet3"/>
      </w:pPr>
      <w:r w:rsidRPr="00CE0041">
        <w:t>operating plant and equipment to meet job requirements</w:t>
      </w:r>
    </w:p>
    <w:p w:rsidR="00000000" w:rsidRPr="00CE0041" w:rsidP="00CE0041">
      <w:pPr>
        <w:pStyle w:val="ListBullet3"/>
      </w:pPr>
      <w:r w:rsidRPr="00CE0041">
        <w:t>managing blend profile to give optimum strand conditions</w:t>
      </w:r>
    </w:p>
    <w:p w:rsidR="00000000" w:rsidRPr="00CE0041" w:rsidP="00CE0041">
      <w:pPr>
        <w:pStyle w:val="ListBullet3"/>
      </w:pPr>
      <w:r w:rsidRPr="00CE0041">
        <w:t>managing sinter techniques and production</w:t>
      </w:r>
    </w:p>
    <w:p w:rsidR="00000000" w:rsidRPr="00CE0041" w:rsidP="00CE0041">
      <w:pPr>
        <w:pStyle w:val="ListBullet3"/>
      </w:pPr>
      <w:r w:rsidRPr="00CE0041">
        <w:t>completing sinter feedstock</w:t>
      </w:r>
    </w:p>
    <w:p w:rsidR="00000000" w:rsidRPr="00CE0041" w:rsidP="00CE0041">
      <w:pPr>
        <w:pStyle w:val="ListBullet3"/>
      </w:pPr>
      <w:r w:rsidRPr="00CE0041">
        <w:t>managing sinter yield</w:t>
      </w:r>
    </w:p>
    <w:p w:rsidR="00000000" w:rsidRPr="00CE0041" w:rsidP="00CE0041">
      <w:pPr>
        <w:pStyle w:val="ListBullet3"/>
      </w:pPr>
      <w:r w:rsidRPr="00CE0041">
        <w:t>applying sinter feedstock additions</w:t>
      </w:r>
    </w:p>
    <w:p w:rsidR="00000000" w:rsidRPr="00CE0041" w:rsidP="00CE0041">
      <w:pPr>
        <w:pStyle w:val="ListBullet3"/>
      </w:pPr>
      <w:r w:rsidRPr="00CE0041">
        <w:t>managing hot screening</w:t>
      </w:r>
    </w:p>
    <w:p w:rsidR="00000000" w:rsidRPr="00CE0041" w:rsidP="00CE0041">
      <w:pPr>
        <w:pStyle w:val="ListBullet3"/>
      </w:pPr>
      <w:r w:rsidRPr="00CE0041">
        <w:t>completing screening</w:t>
      </w:r>
    </w:p>
    <w:p w:rsidR="00000000" w:rsidRPr="00CE0041" w:rsidP="00CE0041">
      <w:pPr>
        <w:pStyle w:val="ListBullet3"/>
      </w:pPr>
      <w:r w:rsidRPr="00CE0041">
        <w:t>applying hearth layer requirements</w:t>
      </w:r>
    </w:p>
    <w:p w:rsidR="00000000" w:rsidRPr="00CE0041" w:rsidP="00CE0041">
      <w:pPr>
        <w:pStyle w:val="ListBullet3"/>
      </w:pPr>
      <w:r w:rsidRPr="00CE0041">
        <w:t>applying cooling requirements managing cooler air leakage</w:t>
      </w:r>
    </w:p>
    <w:p w:rsidR="00000000" w:rsidRPr="00CE0041" w:rsidP="00CE0041">
      <w:pPr>
        <w:pStyle w:val="AllowPageBreak"/>
      </w:pPr>
    </w:p>
    <w:p w:rsidR="00000000" w:rsidRPr="00CE0041" w:rsidP="00CE0041">
      <w:pPr>
        <w:pStyle w:val="Heading1"/>
      </w:pPr>
      <w:bookmarkStart w:id="3" w:name="O_687763"/>
      <w:bookmarkEnd w:id="3"/>
      <w:r w:rsidRPr="00CE0041">
        <w:t>Knowledge Evidence</w:t>
      </w:r>
    </w:p>
    <w:p w:rsidR="00000000" w:rsidRPr="00CE0041" w:rsidP="00E72609">
      <w:pPr>
        <w:pStyle w:val="BodyText"/>
      </w:pPr>
      <w:r w:rsidRPr="00CE0041">
        <w:t>The candidate must demonstrate knowledge of sintering materials through:</w:t>
      </w:r>
    </w:p>
    <w:p w:rsidR="00000000" w:rsidRPr="00CE0041" w:rsidP="00CE0041">
      <w:pPr>
        <w:pStyle w:val="ListBullet2"/>
      </w:pPr>
      <w:r w:rsidRPr="00CE0041">
        <w:t>importance of correct pallet side walls</w:t>
      </w:r>
    </w:p>
    <w:p w:rsidR="00000000" w:rsidRPr="00CE0041" w:rsidP="00CE0041">
      <w:pPr>
        <w:pStyle w:val="ListBullet2"/>
      </w:pPr>
      <w:r w:rsidRPr="00CE0041">
        <w:t>reasons for maintaining maximum depth of sinter in cooler pallets</w:t>
      </w:r>
    </w:p>
    <w:p w:rsidR="00000000" w:rsidRPr="00CE0041" w:rsidP="00CE0041">
      <w:pPr>
        <w:pStyle w:val="ListBullet2"/>
      </w:pPr>
      <w:r w:rsidRPr="00CE0041">
        <w:t>danger of high temperature sinter/pellets on conveyors</w:t>
      </w:r>
    </w:p>
    <w:p w:rsidR="00000000" w:rsidRPr="00CE0041" w:rsidP="00CE0041">
      <w:pPr>
        <w:pStyle w:val="ListBullet2"/>
      </w:pPr>
      <w:r w:rsidRPr="00CE0041">
        <w:t>no oversize material after final cold fines screen</w:t>
      </w:r>
    </w:p>
    <w:p w:rsidR="00000000" w:rsidRPr="00CE0041" w:rsidP="00CE0041">
      <w:pPr>
        <w:pStyle w:val="ListBullet2"/>
      </w:pPr>
      <w:r w:rsidRPr="00CE0041">
        <w:t>temperature distribution</w:t>
      </w:r>
    </w:p>
    <w:p w:rsidR="00000000" w:rsidRPr="00CE0041" w:rsidP="00CE0041">
      <w:pPr>
        <w:pStyle w:val="ListBullet2"/>
      </w:pPr>
      <w:r w:rsidRPr="00CE0041">
        <w:t>combustion requirem</w:t>
      </w:r>
      <w:r w:rsidRPr="00CE0041">
        <w:t>ents</w:t>
      </w:r>
    </w:p>
    <w:p w:rsidR="00000000" w:rsidRPr="00CE0041" w:rsidP="00CE0041">
      <w:pPr>
        <w:pStyle w:val="ListBullet2"/>
      </w:pPr>
      <w:r w:rsidRPr="00CE0041">
        <w:t>suction requirements</w:t>
      </w:r>
    </w:p>
    <w:p w:rsidR="00000000" w:rsidRPr="00CE0041" w:rsidP="00CE0041">
      <w:pPr>
        <w:pStyle w:val="ListBullet2"/>
      </w:pPr>
      <w:r w:rsidRPr="00CE0041">
        <w:t>processing of sinter and fines</w:t>
      </w:r>
    </w:p>
    <w:p w:rsidR="00000000" w:rsidRPr="00CE0041" w:rsidP="00CE0041">
      <w:pPr>
        <w:pStyle w:val="ListBullet2"/>
      </w:pPr>
      <w:r w:rsidRPr="00CE0041">
        <w:t>effects of strand leakage’s</w:t>
      </w:r>
    </w:p>
    <w:p w:rsidR="00000000" w:rsidRPr="00CE0041" w:rsidP="00CE0041">
      <w:pPr>
        <w:pStyle w:val="ListBullet2"/>
      </w:pPr>
      <w:r w:rsidRPr="00CE0041">
        <w:t>importance of correct strand disposition</w:t>
      </w:r>
    </w:p>
    <w:p w:rsidR="00000000" w:rsidRPr="00CE0041" w:rsidP="00CE0041">
      <w:pPr>
        <w:pStyle w:val="ListBullet2"/>
      </w:pPr>
      <w:r w:rsidRPr="00CE0041">
        <w:t>importance of roll feeder operation</w:t>
      </w:r>
    </w:p>
    <w:p w:rsidR="00000000" w:rsidRPr="00CE0041" w:rsidP="00CE0041">
      <w:pPr>
        <w:pStyle w:val="ListBullet2"/>
      </w:pPr>
      <w:r w:rsidRPr="00CE0041">
        <w:t>over size material</w:t>
      </w:r>
    </w:p>
    <w:p w:rsidR="00000000" w:rsidRPr="00CE0041" w:rsidP="00CE0041">
      <w:pPr>
        <w:pStyle w:val="ListBullet2"/>
      </w:pPr>
      <w:r w:rsidRPr="00CE0041">
        <w:t>dangers presented by specific plant and equipment</w:t>
      </w:r>
    </w:p>
    <w:p w:rsidR="00000000" w:rsidRPr="00CE0041" w:rsidP="00CE0041">
      <w:pPr>
        <w:pStyle w:val="ListBullet2"/>
      </w:pPr>
      <w:r w:rsidRPr="00CE0041">
        <w:t>reporting of faults</w:t>
      </w:r>
    </w:p>
    <w:p w:rsidR="00000000" w:rsidRPr="00CE0041" w:rsidP="00CE0041">
      <w:pPr>
        <w:pStyle w:val="AllowPageBreak"/>
      </w:pPr>
    </w:p>
    <w:p w:rsidR="00000000" w:rsidRPr="00CE0041" w:rsidP="00CE0041">
      <w:pPr>
        <w:pStyle w:val="Heading1"/>
      </w:pPr>
      <w:bookmarkStart w:id="4" w:name="O_687762"/>
      <w:bookmarkEnd w:id="4"/>
      <w:r w:rsidRPr="00CE0041">
        <w:t>Assessment Conditions</w:t>
      </w:r>
    </w:p>
    <w:p w:rsidR="00000000" w:rsidRPr="00CE0041" w:rsidP="00CE0041">
      <w:pPr>
        <w:pStyle w:val="ListBullet"/>
      </w:pPr>
      <w:r w:rsidRPr="00CE0041">
        <w:t xml:space="preserve">An assessor of this unit must satisfy the requirements of the NVR/AQTF or their successors; and Industry regulations for certification and licensing; and, </w:t>
      </w:r>
    </w:p>
    <w:p w:rsidR="00000000" w:rsidRPr="00CE0041" w:rsidP="00CE0041">
      <w:pPr>
        <w:pStyle w:val="ListBullet"/>
      </w:pPr>
      <w:r w:rsidRPr="00CE0041">
        <w:t>this unit must be assessed in the context of this sector’</w:t>
      </w:r>
      <w:r w:rsidRPr="00CE0041">
        <w:t>s work environment; and,</w:t>
      </w:r>
    </w:p>
    <w:p w:rsidR="00000000" w:rsidRPr="00CE0041" w:rsidP="00CE0041">
      <w:pPr>
        <w:pStyle w:val="ListBullet"/>
      </w:pPr>
      <w:r w:rsidRPr="00CE0041">
        <w:t>this unit must be assessed in compliance with relevant legislation/regulation and using policies, procedures, processes and operational manuals directly related to the industry sector for which it is being assessed; and,</w:t>
      </w:r>
    </w:p>
    <w:p w:rsidR="00000000" w:rsidRPr="00CE0041" w:rsidP="00CE0041">
      <w:pPr>
        <w:pStyle w:val="ListBullet"/>
      </w:pPr>
      <w:r w:rsidRPr="00CE0041">
        <w:t>assessment</w:t>
      </w:r>
      <w:r w:rsidRPr="00CE0041">
        <w:t xml:space="preserve"> may be conducted in conjunction with the assessment of other Units of Competency; and,</w:t>
      </w:r>
    </w:p>
    <w:p w:rsidR="00000000" w:rsidRPr="00CE0041" w:rsidP="00CE0041">
      <w:pPr>
        <w:pStyle w:val="ListBullet"/>
      </w:pPr>
      <w:r w:rsidRPr="00CE0041">
        <w:t>assessment must confirm consistent performance can be applied in a range of relevant workplace circumstances; and,</w:t>
      </w:r>
    </w:p>
    <w:p w:rsidR="00000000" w:rsidRPr="00CE0041" w:rsidP="00CE0041">
      <w:pPr>
        <w:pStyle w:val="ListBullet"/>
      </w:pPr>
      <w:r w:rsidRPr="00CE0041">
        <w:t xml:space="preserve">assessors must demonstrate the performance evidence, </w:t>
      </w:r>
      <w:r w:rsidRPr="00CE0041">
        <w:t>and knowledge evidence as outlined in this Unit of Competency, and through the minimum years of current* work experience specified below in an Industry sector relevant to the outcomes of the unit; or,</w:t>
      </w:r>
    </w:p>
    <w:p w:rsidR="00000000" w:rsidRPr="00CE0041" w:rsidP="00CE0041">
      <w:pPr>
        <w:pStyle w:val="ListBullet"/>
      </w:pPr>
      <w:r w:rsidRPr="00CE0041">
        <w:t>where the assessor does not meet experience requirement</w:t>
      </w:r>
      <w:r w:rsidRPr="00CE0041">
        <w:t>s a co-assessment or partnership arrangement must exist between the qualified assessor and an Industry subject matter expert. The Industry subject matter expert should hold the unit being assessed (or an equivalent unit) and/or demonstrate equivalence of s</w:t>
      </w:r>
      <w:r w:rsidRPr="00CE0041">
        <w:t>kills and knowledge at the unit level. An Industry technical expert must also demonstrate skills and knowledge from the minimum years of current work experience specified below in the Industry sector, including time spent in roles related to the unit being</w:t>
      </w:r>
      <w:r w:rsidRPr="00CE0041">
        <w:t xml:space="preserve"> assessed; and,</w:t>
      </w:r>
    </w:p>
    <w:p w:rsidR="00000000" w:rsidRPr="00CE0041" w:rsidP="00CE0041">
      <w:pPr>
        <w:pStyle w:val="ListBullet"/>
      </w:pPr>
      <w:r w:rsidRPr="00CE004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E00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SubHeading1"/>
              <w:rPr>
                <w:lang w:val="en-NZ"/>
              </w:rPr>
            </w:pPr>
            <w:r w:rsidRPr="00CE004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SubHeading1"/>
              <w:rPr>
                <w:lang w:val="en-NZ"/>
              </w:rPr>
            </w:pPr>
            <w:r w:rsidRPr="00CE004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SubHeading1"/>
              <w:rPr>
                <w:lang w:val="en-NZ"/>
              </w:rPr>
            </w:pPr>
            <w:r w:rsidRPr="00CE0041">
              <w:t>Required ass</w:t>
            </w:r>
            <w:r w:rsidRPr="00CE0041">
              <w:t>essor or Industry subject matter expert experience</w:t>
            </w:r>
          </w:p>
        </w:tc>
      </w:tr>
      <w:tr w:rsidTr="00CE004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1 Year</w:t>
            </w:r>
          </w:p>
        </w:tc>
      </w:tr>
      <w:tr w:rsidTr="00CE004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2 Years</w:t>
            </w:r>
          </w:p>
        </w:tc>
      </w:tr>
      <w:tr w:rsidTr="00CE00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3 Years</w:t>
            </w:r>
          </w:p>
        </w:tc>
      </w:tr>
      <w:tr w:rsidTr="00CE00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5 Years</w:t>
            </w:r>
          </w:p>
        </w:tc>
      </w:tr>
      <w:tr w:rsidTr="00CE00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041">
            <w:pPr>
              <w:pStyle w:val="BodyText"/>
              <w:rPr>
                <w:lang w:val="en-NZ"/>
              </w:rPr>
            </w:pPr>
            <w:r w:rsidRPr="00CE004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0041" w:rsidP="00CE0041">
            <w:pPr>
              <w:pStyle w:val="BodyText"/>
            </w:pPr>
            <w:r w:rsidRPr="00CE0041">
              <w:t xml:space="preserve">Where this Unit is being assessed outside of the Resources and Infrastructure Sectors assessor and/or Industry subject matter expert experience </w:t>
            </w:r>
            <w:r w:rsidRPr="00CE0041">
              <w:t>should be in-line with industry standards for the sector in which it is being assessed and where no Industry standard is specified should comply with any relevant regulation.</w:t>
            </w:r>
          </w:p>
        </w:tc>
      </w:tr>
    </w:tbl>
    <w:p w:rsidR="00000000" w:rsidRPr="00CE0041" w:rsidP="00E72609">
      <w:pPr>
        <w:pStyle w:val="BodyText"/>
      </w:pPr>
      <w:r w:rsidRPr="00CE0041">
        <w:t>*Assessors can demonstrate current work experience through employment within In</w:t>
      </w:r>
      <w:r w:rsidRPr="00CE0041">
        <w:t>dustry in a role relevant to the outcomes of the Unit; or, for external assessors this can be demonstrated through exposure to Industry by conducting frequent site assessments across various locations.</w:t>
      </w:r>
    </w:p>
    <w:p w:rsidR="00E72609" w:rsidP="00E72609">
      <w:pPr>
        <w:pStyle w:val="BodyText"/>
      </w:pPr>
      <w:r w:rsidRPr="00CE0041">
        <w:t>**Where a unit is being delivered outside of a Qualifi</w:t>
      </w:r>
      <w:r w:rsidRPr="00CE0041">
        <w:t>cation the first numeric character in the Unit code should be considered to indicate the AQF level</w:t>
      </w:r>
    </w:p>
    <w:p w:rsidR="00000000" w:rsidRPr="00CE0041" w:rsidP="00CE0041">
      <w:pPr>
        <w:pStyle w:val="Heading1"/>
      </w:pPr>
      <w:bookmarkStart w:id="5" w:name="O_687783"/>
      <w:bookmarkEnd w:id="5"/>
      <w:r w:rsidRPr="00CE0041">
        <w:t>Links</w:t>
      </w:r>
    </w:p>
    <w:p w:rsidR="00000000" w:rsidRPr="00CE0041" w:rsidP="00E72609">
      <w:pPr>
        <w:pStyle w:val="BodyText"/>
      </w:pPr>
      <w:r w:rsidRPr="00CE004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7926">
        <w:rPr>
          <w:rStyle w:val="Hyperlink"/>
        </w:rPr>
        <w:t>https://vetnet.gov.au/Pages/TrainingDocs.aspx?q=88a61002-9a21-4386-aaf8-69c76e675272</w:t>
      </w:r>
      <w:r>
        <w:fldChar w:fldCharType="end"/>
      </w:r>
    </w:p>
    <w:p w:rsidR="00000000" w:rsidRPr="00CE0041" w:rsidP="00CE0041"/>
    <w:sectPr w:rsidSect="00CE00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41" w:rsidRPr="00E72609" w:rsidP="00E72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09" w:rsidP="00CE0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2609" w:rsidP="00CE004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72609" w:rsidP="00CE00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041" w:rsidRPr="00E72609" w:rsidP="00E72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09" w:rsidRPr="002D2AF8" w:rsidP="00CE0041">
    <w:pPr>
      <w:pStyle w:val="Header"/>
      <w:framePr w:wrap="around"/>
    </w:pPr>
    <w:r>
      <w:fldChar w:fldCharType="begin"/>
    </w:r>
    <w:r>
      <w:instrText xml:space="preserve"> TITLE   \* MERGEFORMAT </w:instrText>
    </w:r>
    <w:r>
      <w:fldChar w:fldCharType="separate"/>
    </w:r>
    <w:r>
      <w:t>Assessment Requirements for RIIPRE204D Sinter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72609" w:rsidP="00CE00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E2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6C76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743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0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041"/>
    <w:pPr>
      <w:spacing w:before="360" w:after="60"/>
      <w:outlineLvl w:val="0"/>
    </w:pPr>
    <w:rPr>
      <w:sz w:val="32"/>
    </w:rPr>
  </w:style>
  <w:style w:type="paragraph" w:styleId="Heading2">
    <w:name w:val="heading 2"/>
    <w:basedOn w:val="HeadingBase"/>
    <w:next w:val="BodyText"/>
    <w:link w:val="Heading2Char"/>
    <w:qFormat/>
    <w:rsid w:val="00CE0041"/>
    <w:pPr>
      <w:keepLines/>
      <w:spacing w:before="240" w:after="120"/>
      <w:outlineLvl w:val="1"/>
    </w:pPr>
    <w:rPr>
      <w:sz w:val="28"/>
      <w:szCs w:val="40"/>
    </w:rPr>
  </w:style>
  <w:style w:type="paragraph" w:styleId="Heading3">
    <w:name w:val="heading 3"/>
    <w:basedOn w:val="HeadingBase"/>
    <w:next w:val="BodyText"/>
    <w:link w:val="Heading3Char"/>
    <w:qFormat/>
    <w:rsid w:val="00CE0041"/>
    <w:pPr>
      <w:spacing w:before="180" w:after="120"/>
      <w:outlineLvl w:val="2"/>
    </w:pPr>
    <w:rPr>
      <w:spacing w:val="-10"/>
      <w:kern w:val="32"/>
    </w:rPr>
  </w:style>
  <w:style w:type="paragraph" w:styleId="Heading4">
    <w:name w:val="heading 4"/>
    <w:basedOn w:val="HeadingBase"/>
    <w:next w:val="BodyText"/>
    <w:link w:val="Heading4Char"/>
    <w:qFormat/>
    <w:rsid w:val="00CE0041"/>
    <w:pPr>
      <w:spacing w:before="160" w:after="120"/>
      <w:outlineLvl w:val="3"/>
    </w:pPr>
    <w:rPr>
      <w:sz w:val="22"/>
    </w:rPr>
  </w:style>
  <w:style w:type="paragraph" w:styleId="Heading5">
    <w:name w:val="heading 5"/>
    <w:basedOn w:val="HeadingBase"/>
    <w:next w:val="Normal"/>
    <w:link w:val="Heading5Char"/>
    <w:qFormat/>
    <w:rsid w:val="00CE0041"/>
    <w:pPr>
      <w:spacing w:before="80"/>
      <w:outlineLvl w:val="4"/>
    </w:pPr>
    <w:rPr>
      <w:color w:val="918585"/>
      <w:sz w:val="20"/>
    </w:rPr>
  </w:style>
  <w:style w:type="paragraph" w:styleId="Heading6">
    <w:name w:val="heading 6"/>
    <w:basedOn w:val="HeadingBase"/>
    <w:next w:val="Normal"/>
    <w:link w:val="Heading6Char"/>
    <w:qFormat/>
    <w:rsid w:val="00CE0041"/>
    <w:pPr>
      <w:spacing w:before="60"/>
      <w:outlineLvl w:val="5"/>
    </w:pPr>
    <w:rPr>
      <w:color w:val="918585"/>
      <w:sz w:val="20"/>
    </w:rPr>
  </w:style>
  <w:style w:type="paragraph" w:styleId="Heading7">
    <w:name w:val="heading 7"/>
    <w:basedOn w:val="Normal"/>
    <w:next w:val="Normal"/>
    <w:link w:val="Heading7Char"/>
    <w:qFormat/>
    <w:rsid w:val="00CE0041"/>
    <w:pPr>
      <w:ind w:left="720"/>
      <w:outlineLvl w:val="6"/>
    </w:pPr>
    <w:rPr>
      <w:i/>
    </w:rPr>
  </w:style>
  <w:style w:type="paragraph" w:styleId="Heading8">
    <w:name w:val="heading 8"/>
    <w:basedOn w:val="Normal"/>
    <w:next w:val="Normal"/>
    <w:link w:val="Heading8Char"/>
    <w:qFormat/>
    <w:rsid w:val="00CE0041"/>
    <w:pPr>
      <w:ind w:left="720"/>
      <w:outlineLvl w:val="7"/>
    </w:pPr>
    <w:rPr>
      <w:i/>
    </w:rPr>
  </w:style>
  <w:style w:type="paragraph" w:styleId="Heading9">
    <w:name w:val="heading 9"/>
    <w:basedOn w:val="Normal"/>
    <w:next w:val="Normal"/>
    <w:link w:val="Heading9Char"/>
    <w:qFormat/>
    <w:rsid w:val="00CE0041"/>
    <w:pPr>
      <w:ind w:left="720"/>
      <w:outlineLvl w:val="8"/>
    </w:pPr>
    <w:rPr>
      <w:i/>
    </w:rPr>
  </w:style>
  <w:style w:type="character" w:default="1" w:styleId="DefaultParagraphFont">
    <w:name w:val="Default Paragraph Font"/>
    <w:uiPriority w:val="1"/>
    <w:unhideWhenUsed/>
    <w:rsid w:val="00CE0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041"/>
  </w:style>
  <w:style w:type="character" w:customStyle="1" w:styleId="Heading1Char">
    <w:name w:val="Heading 1 Char"/>
    <w:basedOn w:val="DefaultParagraphFont"/>
    <w:link w:val="Heading1"/>
    <w:rsid w:val="00CE004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E0041"/>
    <w:rPr>
      <w:rFonts w:ascii="Times New Roman" w:eastAsia="Times New Roman" w:hAnsi="Times New Roman" w:cs="Times New Roman"/>
      <w:b/>
      <w:szCs w:val="20"/>
      <w:lang w:eastAsia="en-US"/>
    </w:rPr>
  </w:style>
  <w:style w:type="paragraph" w:styleId="BodyText">
    <w:name w:val="Body Text"/>
    <w:basedOn w:val="Normal"/>
    <w:link w:val="BodyTextChar"/>
    <w:rsid w:val="00CE00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041"/>
    <w:rPr>
      <w:rFonts w:ascii="Times New Roman" w:eastAsia="Times New Roman" w:hAnsi="Times New Roman" w:cs="Times New Roman"/>
      <w:sz w:val="24"/>
      <w:lang w:eastAsia="en-US"/>
    </w:rPr>
  </w:style>
  <w:style w:type="paragraph" w:styleId="ListBullet">
    <w:name w:val="List Bullet"/>
    <w:basedOn w:val="List"/>
    <w:rsid w:val="00CE0041"/>
    <w:pPr>
      <w:numPr>
        <w:numId w:val="13"/>
      </w:numPr>
      <w:tabs>
        <w:tab w:val="clear" w:pos="340"/>
      </w:tabs>
      <w:spacing w:before="40" w:after="40"/>
    </w:pPr>
  </w:style>
  <w:style w:type="paragraph" w:styleId="ListBullet2">
    <w:name w:val="List Bullet 2"/>
    <w:basedOn w:val="List2"/>
    <w:rsid w:val="00CE0041"/>
    <w:pPr>
      <w:numPr>
        <w:numId w:val="14"/>
      </w:numPr>
      <w:tabs>
        <w:tab w:val="clear" w:pos="680"/>
      </w:tabs>
    </w:pPr>
  </w:style>
  <w:style w:type="paragraph" w:customStyle="1" w:styleId="SuperHeading">
    <w:name w:val="SuperHeading"/>
    <w:basedOn w:val="Normal"/>
    <w:rsid w:val="00CE0041"/>
    <w:pPr>
      <w:spacing w:before="240" w:after="120"/>
      <w:outlineLvl w:val="0"/>
    </w:pPr>
    <w:rPr>
      <w:rFonts w:ascii="Times New Roman" w:hAnsi="Times New Roman"/>
      <w:b/>
      <w:sz w:val="32"/>
    </w:rPr>
  </w:style>
  <w:style w:type="paragraph" w:customStyle="1" w:styleId="AllowPageBreak">
    <w:name w:val="AllowPageBreak"/>
    <w:rsid w:val="00CE00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E0041"/>
    <w:pPr>
      <w:spacing w:before="240" w:after="60"/>
    </w:pPr>
    <w:rPr>
      <w:color w:val="918585"/>
      <w:sz w:val="22"/>
    </w:rPr>
  </w:style>
  <w:style w:type="paragraph" w:styleId="ListBullet3">
    <w:name w:val="List Bullet 3"/>
    <w:basedOn w:val="List3"/>
    <w:rsid w:val="00CE0041"/>
    <w:pPr>
      <w:numPr>
        <w:numId w:val="3"/>
      </w:numPr>
      <w:tabs>
        <w:tab w:val="clear" w:pos="1021"/>
      </w:tabs>
      <w:ind w:left="1037" w:hanging="357"/>
    </w:pPr>
  </w:style>
  <w:style w:type="character" w:customStyle="1" w:styleId="Heading2Char">
    <w:name w:val="Heading 2 Char"/>
    <w:basedOn w:val="DefaultParagraphFont"/>
    <w:link w:val="Heading2"/>
    <w:rsid w:val="00CE0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04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E0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0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0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041"/>
    <w:rPr>
      <w:rFonts w:ascii="Courier New" w:eastAsia="Times New Roman" w:hAnsi="Courier New" w:cs="Times New Roman"/>
      <w:i/>
      <w:szCs w:val="20"/>
      <w:lang w:eastAsia="en-US"/>
    </w:rPr>
  </w:style>
  <w:style w:type="paragraph" w:customStyle="1" w:styleId="HeadingBase">
    <w:name w:val="Heading Base"/>
    <w:rsid w:val="00CE0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041"/>
    <w:pPr>
      <w:tabs>
        <w:tab w:val="right" w:leader="dot" w:pos="9072"/>
      </w:tabs>
      <w:ind w:left="567"/>
    </w:pPr>
    <w:rPr>
      <w:szCs w:val="22"/>
    </w:rPr>
  </w:style>
  <w:style w:type="paragraph" w:customStyle="1" w:styleId="TOCBase">
    <w:name w:val="TOC Base"/>
    <w:rsid w:val="00CE0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041"/>
    <w:pPr>
      <w:tabs>
        <w:tab w:val="right" w:leader="dot" w:pos="9072"/>
      </w:tabs>
      <w:spacing w:before="40" w:after="40"/>
      <w:ind w:left="284"/>
    </w:pPr>
    <w:rPr>
      <w:rFonts w:ascii="Times New Roman" w:hAnsi="Times New Roman"/>
    </w:rPr>
  </w:style>
  <w:style w:type="paragraph" w:styleId="TOC1">
    <w:name w:val="toc 1"/>
    <w:basedOn w:val="TOCBase"/>
    <w:next w:val="Normal"/>
    <w:rsid w:val="00CE00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041"/>
    <w:rPr>
      <w:rFonts w:ascii="Times New Roman" w:eastAsia="Times New Roman" w:hAnsi="Times New Roman" w:cs="Times New Roman"/>
      <w:sz w:val="16"/>
      <w:lang w:eastAsia="en-US"/>
    </w:rPr>
  </w:style>
  <w:style w:type="paragraph" w:styleId="Title">
    <w:name w:val="Title"/>
    <w:basedOn w:val="HeadingBase"/>
    <w:link w:val="TitleChar"/>
    <w:qFormat/>
    <w:rsid w:val="00CE0041"/>
    <w:pPr>
      <w:spacing w:before="5040"/>
      <w:jc w:val="center"/>
    </w:pPr>
    <w:rPr>
      <w:sz w:val="48"/>
      <w:szCs w:val="72"/>
      <w:lang w:val="en-US"/>
    </w:rPr>
  </w:style>
  <w:style w:type="character" w:customStyle="1" w:styleId="TitleChar">
    <w:name w:val="Title Char"/>
    <w:basedOn w:val="DefaultParagraphFont"/>
    <w:link w:val="Title"/>
    <w:rsid w:val="00CE0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041"/>
    <w:pPr>
      <w:tabs>
        <w:tab w:val="left" w:pos="3600"/>
        <w:tab w:val="left" w:pos="3958"/>
      </w:tabs>
    </w:pPr>
  </w:style>
  <w:style w:type="paragraph" w:styleId="List">
    <w:name w:val="List"/>
    <w:basedOn w:val="BodyText"/>
    <w:next w:val="BodyText"/>
    <w:rsid w:val="00CE0041"/>
    <w:pPr>
      <w:tabs>
        <w:tab w:val="left" w:pos="340"/>
      </w:tabs>
      <w:spacing w:before="60" w:after="60"/>
      <w:ind w:left="340" w:hanging="340"/>
    </w:pPr>
  </w:style>
  <w:style w:type="paragraph" w:customStyle="1" w:styleId="Note">
    <w:name w:val="Note"/>
    <w:basedOn w:val="BodyText"/>
    <w:rsid w:val="00CE00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0041"/>
    <w:rPr>
      <w:b/>
      <w:spacing w:val="0"/>
    </w:rPr>
  </w:style>
  <w:style w:type="paragraph" w:customStyle="1" w:styleId="SuperTitle">
    <w:name w:val="SuperTitle"/>
    <w:basedOn w:val="Title"/>
    <w:rsid w:val="00CE0041"/>
    <w:pPr>
      <w:framePr w:wrap="auto" w:hAnchor="text" w:y="6049"/>
    </w:pPr>
    <w:rPr>
      <w:color w:val="000000"/>
      <w:sz w:val="40"/>
    </w:rPr>
  </w:style>
  <w:style w:type="paragraph" w:customStyle="1" w:styleId="TOCTitle">
    <w:name w:val="TOCTitle"/>
    <w:basedOn w:val="Heading1"/>
    <w:rsid w:val="00CE0041"/>
    <w:pPr>
      <w:spacing w:after="240"/>
      <w:jc w:val="center"/>
      <w:outlineLvl w:val="9"/>
    </w:pPr>
    <w:rPr>
      <w:caps/>
    </w:rPr>
  </w:style>
  <w:style w:type="paragraph" w:customStyle="1" w:styleId="Version">
    <w:name w:val="Version"/>
    <w:rsid w:val="00CE0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041"/>
    <w:pPr>
      <w:keepNext w:val="0"/>
      <w:tabs>
        <w:tab w:val="right" w:pos="4176"/>
      </w:tabs>
      <w:ind w:left="198" w:hanging="198"/>
    </w:pPr>
    <w:rPr>
      <w:rFonts w:ascii="Garamond" w:hAnsi="Garamond"/>
    </w:rPr>
  </w:style>
  <w:style w:type="paragraph" w:styleId="IndexHeading">
    <w:name w:val="index heading"/>
    <w:basedOn w:val="Normal"/>
    <w:next w:val="Index1"/>
    <w:semiHidden/>
    <w:rsid w:val="00CE0041"/>
    <w:pPr>
      <w:spacing w:before="120" w:after="120"/>
    </w:pPr>
    <w:rPr>
      <w:rFonts w:ascii="Arial" w:hAnsi="Arial"/>
      <w:b/>
      <w:color w:val="918585"/>
      <w:sz w:val="24"/>
    </w:rPr>
  </w:style>
  <w:style w:type="paragraph" w:styleId="Header">
    <w:name w:val="header"/>
    <w:basedOn w:val="Normal"/>
    <w:link w:val="HeaderChar"/>
    <w:rsid w:val="00CE0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041"/>
    <w:rPr>
      <w:rFonts w:ascii="Times New Roman" w:eastAsia="Times New Roman" w:hAnsi="Times New Roman" w:cs="Times New Roman"/>
      <w:sz w:val="16"/>
      <w:szCs w:val="20"/>
      <w:lang w:val="en-GB" w:eastAsia="en-US"/>
    </w:rPr>
  </w:style>
  <w:style w:type="paragraph" w:customStyle="1" w:styleId="Chapter">
    <w:name w:val="Chapter"/>
    <w:basedOn w:val="Normal"/>
    <w:rsid w:val="00CE0041"/>
    <w:pPr>
      <w:spacing w:before="240"/>
    </w:pPr>
    <w:rPr>
      <w:rFonts w:ascii="Times New Roman" w:hAnsi="Times New Roman"/>
      <w:smallCaps/>
      <w:spacing w:val="80"/>
      <w:sz w:val="28"/>
    </w:rPr>
  </w:style>
  <w:style w:type="paragraph" w:customStyle="1" w:styleId="InChapter">
    <w:name w:val="InChapter"/>
    <w:basedOn w:val="Heading3"/>
    <w:rsid w:val="00CE0041"/>
    <w:pPr>
      <w:spacing w:after="240"/>
      <w:outlineLvl w:val="9"/>
    </w:pPr>
    <w:rPr>
      <w:noProof/>
    </w:rPr>
  </w:style>
  <w:style w:type="paragraph" w:styleId="Index2">
    <w:name w:val="index 2"/>
    <w:basedOn w:val="Normal"/>
    <w:next w:val="Normal"/>
    <w:semiHidden/>
    <w:rsid w:val="00CE0041"/>
    <w:pPr>
      <w:tabs>
        <w:tab w:val="right" w:pos="4176"/>
      </w:tabs>
      <w:ind w:left="568" w:hanging="284"/>
    </w:pPr>
    <w:rPr>
      <w:rFonts w:ascii="Garamond" w:hAnsi="Garamond"/>
    </w:rPr>
  </w:style>
  <w:style w:type="paragraph" w:customStyle="1" w:styleId="Byline">
    <w:name w:val="Byline"/>
    <w:rsid w:val="00CE0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041"/>
    <w:pPr>
      <w:tabs>
        <w:tab w:val="clear" w:pos="3600"/>
        <w:tab w:val="clear" w:pos="3958"/>
      </w:tabs>
      <w:jc w:val="right"/>
    </w:pPr>
  </w:style>
  <w:style w:type="character" w:styleId="Emphasis">
    <w:name w:val="Emphasis"/>
    <w:basedOn w:val="DefaultParagraphFont"/>
    <w:qFormat/>
    <w:rsid w:val="00CE0041"/>
    <w:rPr>
      <w:i/>
    </w:rPr>
  </w:style>
  <w:style w:type="paragraph" w:styleId="Caption">
    <w:name w:val="caption"/>
    <w:basedOn w:val="BodyText"/>
    <w:next w:val="Normal"/>
    <w:qFormat/>
    <w:rsid w:val="00CE0041"/>
    <w:pPr>
      <w:framePr w:w="2268" w:hSpace="181" w:vSpace="181" w:wrap="around" w:vAnchor="text" w:hAnchor="page" w:x="1135" w:y="285" w:anchorLock="1"/>
    </w:pPr>
    <w:rPr>
      <w:i/>
    </w:rPr>
  </w:style>
  <w:style w:type="paragraph" w:customStyle="1" w:styleId="MiniTOCTitle">
    <w:name w:val="MiniTOCTitle"/>
    <w:basedOn w:val="Heading4"/>
    <w:rsid w:val="00CE0041"/>
    <w:pPr>
      <w:spacing w:before="240"/>
      <w:outlineLvl w:val="9"/>
    </w:pPr>
    <w:rPr>
      <w:noProof/>
      <w:sz w:val="24"/>
    </w:rPr>
  </w:style>
  <w:style w:type="paragraph" w:customStyle="1" w:styleId="MiniTOCItem">
    <w:name w:val="MiniTOCItem"/>
    <w:basedOn w:val="ListBullet"/>
    <w:rsid w:val="00CE0041"/>
    <w:pPr>
      <w:numPr>
        <w:numId w:val="0"/>
      </w:numPr>
      <w:tabs>
        <w:tab w:val="right" w:leader="dot" w:pos="6521"/>
      </w:tabs>
      <w:spacing w:before="0" w:after="0"/>
    </w:pPr>
  </w:style>
  <w:style w:type="paragraph" w:customStyle="1" w:styleId="TOFTitle">
    <w:name w:val="TOFTitle"/>
    <w:basedOn w:val="TOCTitle"/>
    <w:rsid w:val="00CE0041"/>
  </w:style>
  <w:style w:type="paragraph" w:styleId="TableofFigures">
    <w:name w:val="table of figures"/>
    <w:basedOn w:val="Normal"/>
    <w:next w:val="Normal"/>
    <w:semiHidden/>
    <w:rsid w:val="00CE0041"/>
    <w:pPr>
      <w:tabs>
        <w:tab w:val="right" w:leader="dot" w:pos="9072"/>
      </w:tabs>
      <w:ind w:left="970" w:hanging="403"/>
    </w:pPr>
    <w:rPr>
      <w:rFonts w:ascii="Times New Roman" w:hAnsi="Times New Roman"/>
      <w:b/>
    </w:rPr>
  </w:style>
  <w:style w:type="paragraph" w:styleId="ListNumber">
    <w:name w:val="List Number"/>
    <w:basedOn w:val="List"/>
    <w:rsid w:val="00CE0041"/>
    <w:pPr>
      <w:numPr>
        <w:numId w:val="16"/>
      </w:numPr>
      <w:tabs>
        <w:tab w:val="clear" w:pos="340"/>
      </w:tabs>
    </w:pPr>
  </w:style>
  <w:style w:type="character" w:customStyle="1" w:styleId="WingdingSymbols">
    <w:name w:val="Wingding Symbols"/>
    <w:rsid w:val="00CE0041"/>
    <w:rPr>
      <w:rFonts w:ascii="Wingdings" w:hAnsi="Wingdings"/>
    </w:rPr>
  </w:style>
  <w:style w:type="paragraph" w:customStyle="1" w:styleId="TableHeading">
    <w:name w:val="Table Heading"/>
    <w:basedOn w:val="HeadingBase"/>
    <w:rsid w:val="00CE0041"/>
    <w:pPr>
      <w:keepLines/>
      <w:pBdr>
        <w:bottom w:val="single" w:sz="6" w:space="1" w:color="918585"/>
      </w:pBdr>
      <w:spacing w:before="240"/>
    </w:pPr>
  </w:style>
  <w:style w:type="character" w:customStyle="1" w:styleId="HotSpot">
    <w:name w:val="HotSpot"/>
    <w:rsid w:val="00CE0041"/>
    <w:rPr>
      <w:color w:val="0033CC"/>
      <w:u w:val="none"/>
    </w:rPr>
  </w:style>
  <w:style w:type="paragraph" w:customStyle="1" w:styleId="BodyTextRight">
    <w:name w:val="Body Text Right"/>
    <w:basedOn w:val="BodyText"/>
    <w:rsid w:val="00CE0041"/>
    <w:pPr>
      <w:spacing w:before="0" w:after="0"/>
      <w:jc w:val="right"/>
    </w:pPr>
  </w:style>
  <w:style w:type="paragraph" w:styleId="Index3">
    <w:name w:val="index 3"/>
    <w:basedOn w:val="ListNumber2"/>
    <w:next w:val="Normal"/>
    <w:semiHidden/>
    <w:rsid w:val="00CE0041"/>
    <w:pPr>
      <w:numPr>
        <w:numId w:val="0"/>
      </w:numPr>
      <w:tabs>
        <w:tab w:val="right" w:leader="dot" w:pos="4176"/>
      </w:tabs>
    </w:pPr>
  </w:style>
  <w:style w:type="paragraph" w:styleId="ListNumber2">
    <w:name w:val="List Number 2"/>
    <w:basedOn w:val="List2"/>
    <w:rsid w:val="00CE0041"/>
    <w:pPr>
      <w:numPr>
        <w:numId w:val="11"/>
      </w:numPr>
      <w:tabs>
        <w:tab w:val="clear" w:pos="1060"/>
      </w:tabs>
    </w:pPr>
  </w:style>
  <w:style w:type="paragraph" w:customStyle="1" w:styleId="MarginNote">
    <w:name w:val="Margin Note"/>
    <w:basedOn w:val="BodyText"/>
    <w:rsid w:val="00CE0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0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041"/>
    <w:rPr>
      <w:sz w:val="32"/>
    </w:rPr>
  </w:style>
  <w:style w:type="paragraph" w:customStyle="1" w:styleId="HeadingProcedure">
    <w:name w:val="Heading Procedure"/>
    <w:basedOn w:val="HeadingBase"/>
    <w:next w:val="Normal"/>
    <w:rsid w:val="00CE0041"/>
    <w:pPr>
      <w:tabs>
        <w:tab w:val="left" w:pos="0"/>
      </w:tabs>
      <w:spacing w:before="120" w:after="60"/>
    </w:pPr>
    <w:rPr>
      <w:i/>
      <w:color w:val="918585"/>
      <w:sz w:val="22"/>
    </w:rPr>
  </w:style>
  <w:style w:type="paragraph" w:customStyle="1" w:styleId="TableBodyText">
    <w:name w:val="Table Body Text"/>
    <w:basedOn w:val="BodyText"/>
    <w:rsid w:val="00CE0041"/>
    <w:pPr>
      <w:spacing w:before="60" w:after="60"/>
    </w:pPr>
  </w:style>
  <w:style w:type="paragraph" w:styleId="ListContinue">
    <w:name w:val="List Continue"/>
    <w:basedOn w:val="List"/>
    <w:rsid w:val="00CE0041"/>
    <w:pPr>
      <w:ind w:firstLine="0"/>
    </w:pPr>
  </w:style>
  <w:style w:type="paragraph" w:customStyle="1" w:styleId="ListNote">
    <w:name w:val="List Note"/>
    <w:basedOn w:val="List"/>
    <w:rsid w:val="00CE0041"/>
    <w:pPr>
      <w:pBdr>
        <w:top w:val="single" w:sz="6" w:space="2" w:color="918585"/>
        <w:bottom w:val="single" w:sz="6" w:space="2" w:color="918585"/>
      </w:pBdr>
      <w:tabs>
        <w:tab w:val="left" w:pos="1021"/>
      </w:tabs>
      <w:ind w:firstLine="0"/>
    </w:pPr>
  </w:style>
  <w:style w:type="paragraph" w:customStyle="1" w:styleId="Warning">
    <w:name w:val="Warning"/>
    <w:basedOn w:val="BodyText"/>
    <w:rsid w:val="00CE0041"/>
    <w:pPr>
      <w:shd w:val="clear" w:color="auto" w:fill="D9D9D9"/>
      <w:tabs>
        <w:tab w:val="left" w:pos="992"/>
      </w:tabs>
      <w:ind w:left="119" w:right="119"/>
    </w:pPr>
    <w:rPr>
      <w:sz w:val="20"/>
    </w:rPr>
  </w:style>
  <w:style w:type="paragraph" w:customStyle="1" w:styleId="MarginIcons">
    <w:name w:val="Margin Icons"/>
    <w:basedOn w:val="BodyText"/>
    <w:rsid w:val="00CE0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041"/>
    <w:rPr>
      <w:rFonts w:ascii="Courier New" w:hAnsi="Courier New"/>
    </w:rPr>
  </w:style>
  <w:style w:type="paragraph" w:customStyle="1" w:styleId="NoteBullet">
    <w:name w:val="Note Bullet"/>
    <w:basedOn w:val="Note"/>
    <w:rsid w:val="00CE0041"/>
    <w:pPr>
      <w:tabs>
        <w:tab w:val="clear" w:pos="680"/>
      </w:tabs>
      <w:spacing w:before="60" w:after="60"/>
    </w:pPr>
  </w:style>
  <w:style w:type="paragraph" w:customStyle="1" w:styleId="SubHeading2">
    <w:name w:val="SubHeading2"/>
    <w:basedOn w:val="HeadingBase"/>
    <w:rsid w:val="00CE0041"/>
    <w:pPr>
      <w:spacing w:before="240" w:after="60"/>
    </w:pPr>
    <w:rPr>
      <w:sz w:val="20"/>
    </w:rPr>
  </w:style>
  <w:style w:type="paragraph" w:customStyle="1" w:styleId="SideHeading">
    <w:name w:val="Side Heading"/>
    <w:basedOn w:val="HeadingBase"/>
    <w:rsid w:val="00CE0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041"/>
    <w:pPr>
      <w:numPr>
        <w:numId w:val="12"/>
      </w:numPr>
    </w:pPr>
  </w:style>
  <w:style w:type="paragraph" w:styleId="PlainText">
    <w:name w:val="Plain Text"/>
    <w:basedOn w:val="Normal"/>
    <w:link w:val="PlainTextChar"/>
    <w:rsid w:val="00CE0041"/>
    <w:rPr>
      <w:sz w:val="20"/>
    </w:rPr>
  </w:style>
  <w:style w:type="character" w:customStyle="1" w:styleId="PlainTextChar">
    <w:name w:val="Plain Text Char"/>
    <w:basedOn w:val="DefaultParagraphFont"/>
    <w:link w:val="PlainText"/>
    <w:rsid w:val="00CE0041"/>
    <w:rPr>
      <w:rFonts w:ascii="Courier New" w:eastAsia="Times New Roman" w:hAnsi="Courier New" w:cs="Times New Roman"/>
      <w:sz w:val="20"/>
      <w:szCs w:val="20"/>
      <w:lang w:eastAsia="en-US"/>
    </w:rPr>
  </w:style>
  <w:style w:type="character" w:customStyle="1" w:styleId="MenuOption">
    <w:name w:val="Menu Option"/>
    <w:basedOn w:val="DefaultParagraphFont"/>
    <w:rsid w:val="00CE0041"/>
    <w:rPr>
      <w:b/>
      <w:smallCaps/>
    </w:rPr>
  </w:style>
  <w:style w:type="paragraph" w:customStyle="1" w:styleId="TableListNumber">
    <w:name w:val="Table List Number"/>
    <w:basedOn w:val="ListNumber"/>
    <w:rsid w:val="00CE0041"/>
    <w:pPr>
      <w:numPr>
        <w:numId w:val="0"/>
      </w:numPr>
    </w:pPr>
  </w:style>
  <w:style w:type="paragraph" w:styleId="TOC4">
    <w:name w:val="toc 4"/>
    <w:basedOn w:val="TOCBase"/>
    <w:next w:val="Normal"/>
    <w:semiHidden/>
    <w:rsid w:val="00CE0041"/>
    <w:pPr>
      <w:tabs>
        <w:tab w:val="right" w:leader="dot" w:pos="9071"/>
      </w:tabs>
      <w:ind w:left="1701"/>
    </w:pPr>
  </w:style>
  <w:style w:type="paragraph" w:customStyle="1" w:styleId="ListAlpha">
    <w:name w:val="List Alpha"/>
    <w:basedOn w:val="List"/>
    <w:rsid w:val="00CE0041"/>
    <w:pPr>
      <w:numPr>
        <w:numId w:val="10"/>
      </w:numPr>
    </w:pPr>
  </w:style>
  <w:style w:type="paragraph" w:customStyle="1" w:styleId="ListAlpha2">
    <w:name w:val="List Alpha 2"/>
    <w:basedOn w:val="List2"/>
    <w:rsid w:val="00CE0041"/>
    <w:pPr>
      <w:numPr>
        <w:numId w:val="9"/>
      </w:numPr>
    </w:pPr>
  </w:style>
  <w:style w:type="paragraph" w:styleId="List2">
    <w:name w:val="List 2"/>
    <w:basedOn w:val="BodyText"/>
    <w:rsid w:val="00CE0041"/>
    <w:pPr>
      <w:tabs>
        <w:tab w:val="left" w:pos="680"/>
      </w:tabs>
      <w:spacing w:before="60" w:after="60"/>
      <w:ind w:left="680" w:hanging="340"/>
    </w:pPr>
  </w:style>
  <w:style w:type="paragraph" w:styleId="List3">
    <w:name w:val="List 3"/>
    <w:basedOn w:val="BodyText"/>
    <w:rsid w:val="00CE0041"/>
    <w:pPr>
      <w:tabs>
        <w:tab w:val="left" w:pos="1021"/>
      </w:tabs>
      <w:spacing w:before="60" w:after="60"/>
      <w:ind w:left="1020" w:hanging="340"/>
    </w:pPr>
  </w:style>
  <w:style w:type="paragraph" w:styleId="List4">
    <w:name w:val="List 4"/>
    <w:basedOn w:val="BodyText"/>
    <w:rsid w:val="00CE0041"/>
    <w:pPr>
      <w:tabs>
        <w:tab w:val="left" w:pos="1361"/>
      </w:tabs>
      <w:spacing w:before="60" w:after="60"/>
      <w:ind w:left="1361" w:hanging="340"/>
    </w:pPr>
  </w:style>
  <w:style w:type="paragraph" w:styleId="List5">
    <w:name w:val="List 5"/>
    <w:basedOn w:val="BodyText"/>
    <w:rsid w:val="00CE0041"/>
    <w:pPr>
      <w:tabs>
        <w:tab w:val="left" w:pos="1701"/>
      </w:tabs>
      <w:spacing w:before="60" w:after="60"/>
      <w:ind w:left="1701" w:hanging="340"/>
    </w:pPr>
  </w:style>
  <w:style w:type="paragraph" w:styleId="ListBullet4">
    <w:name w:val="List Bullet 4"/>
    <w:basedOn w:val="List4"/>
    <w:rsid w:val="00CE0041"/>
    <w:pPr>
      <w:numPr>
        <w:numId w:val="4"/>
      </w:numPr>
      <w:tabs>
        <w:tab w:val="clear" w:pos="1361"/>
      </w:tabs>
    </w:pPr>
  </w:style>
  <w:style w:type="paragraph" w:styleId="ListBullet5">
    <w:name w:val="List Bullet 5"/>
    <w:basedOn w:val="List5"/>
    <w:rsid w:val="00CE0041"/>
    <w:pPr>
      <w:numPr>
        <w:numId w:val="5"/>
      </w:numPr>
    </w:pPr>
  </w:style>
  <w:style w:type="paragraph" w:styleId="ListContinue2">
    <w:name w:val="List Continue 2"/>
    <w:basedOn w:val="List2"/>
    <w:rsid w:val="00CE0041"/>
    <w:pPr>
      <w:ind w:firstLine="0"/>
    </w:pPr>
  </w:style>
  <w:style w:type="paragraph" w:styleId="ListContinue3">
    <w:name w:val="List Continue 3"/>
    <w:basedOn w:val="List3"/>
    <w:rsid w:val="00CE0041"/>
    <w:pPr>
      <w:ind w:left="1021" w:firstLine="0"/>
    </w:pPr>
  </w:style>
  <w:style w:type="paragraph" w:styleId="ListContinue4">
    <w:name w:val="List Continue 4"/>
    <w:basedOn w:val="List4"/>
    <w:rsid w:val="00CE0041"/>
    <w:pPr>
      <w:ind w:firstLine="0"/>
    </w:pPr>
  </w:style>
  <w:style w:type="paragraph" w:styleId="ListContinue5">
    <w:name w:val="List Continue 5"/>
    <w:basedOn w:val="List5"/>
    <w:rsid w:val="00CE0041"/>
    <w:pPr>
      <w:ind w:firstLine="0"/>
    </w:pPr>
  </w:style>
  <w:style w:type="paragraph" w:styleId="ListNumber3">
    <w:name w:val="List Number 3"/>
    <w:basedOn w:val="List3"/>
    <w:rsid w:val="00CE0041"/>
    <w:pPr>
      <w:numPr>
        <w:numId w:val="6"/>
      </w:numPr>
    </w:pPr>
  </w:style>
  <w:style w:type="paragraph" w:styleId="ListNumber4">
    <w:name w:val="List Number 4"/>
    <w:basedOn w:val="List4"/>
    <w:rsid w:val="00CE0041"/>
    <w:pPr>
      <w:numPr>
        <w:numId w:val="7"/>
      </w:numPr>
    </w:pPr>
  </w:style>
  <w:style w:type="paragraph" w:styleId="ListNumber5">
    <w:name w:val="List Number 5"/>
    <w:basedOn w:val="List5"/>
    <w:rsid w:val="00CE0041"/>
    <w:pPr>
      <w:numPr>
        <w:numId w:val="8"/>
      </w:numPr>
    </w:pPr>
  </w:style>
  <w:style w:type="paragraph" w:styleId="BlockText">
    <w:name w:val="Block Text"/>
    <w:basedOn w:val="Normal"/>
    <w:rsid w:val="00CE0041"/>
    <w:pPr>
      <w:spacing w:after="120"/>
      <w:ind w:left="1440" w:right="1440"/>
    </w:pPr>
  </w:style>
  <w:style w:type="character" w:customStyle="1" w:styleId="Subscript">
    <w:name w:val="Subscript"/>
    <w:basedOn w:val="DefaultParagraphFont"/>
    <w:rsid w:val="00CE0041"/>
    <w:rPr>
      <w:sz w:val="16"/>
      <w:vertAlign w:val="subscript"/>
    </w:rPr>
  </w:style>
  <w:style w:type="character" w:customStyle="1" w:styleId="Superscript">
    <w:name w:val="Superscript"/>
    <w:basedOn w:val="DefaultParagraphFont"/>
    <w:rsid w:val="00CE0041"/>
    <w:rPr>
      <w:sz w:val="16"/>
      <w:vertAlign w:val="superscript"/>
    </w:rPr>
  </w:style>
  <w:style w:type="character" w:customStyle="1" w:styleId="Symbols">
    <w:name w:val="Symbols"/>
    <w:basedOn w:val="DefaultParagraphFont"/>
    <w:rsid w:val="00CE0041"/>
    <w:rPr>
      <w:rFonts w:ascii="Symbol" w:hAnsi="Symbol"/>
    </w:rPr>
  </w:style>
  <w:style w:type="character" w:customStyle="1" w:styleId="MenuOptions">
    <w:name w:val="Menu Options"/>
    <w:basedOn w:val="DefaultParagraphFont"/>
    <w:rsid w:val="00CE0041"/>
    <w:rPr>
      <w:rFonts w:ascii="Arial Narrow" w:hAnsi="Arial Narrow"/>
      <w:smallCaps/>
    </w:rPr>
  </w:style>
  <w:style w:type="character" w:customStyle="1" w:styleId="Buttons">
    <w:name w:val="Buttons"/>
    <w:basedOn w:val="DefaultParagraphFont"/>
    <w:rsid w:val="00CE0041"/>
    <w:rPr>
      <w:b/>
    </w:rPr>
  </w:style>
  <w:style w:type="character" w:customStyle="1" w:styleId="Underlined">
    <w:name w:val="Underlined"/>
    <w:basedOn w:val="DefaultParagraphFont"/>
    <w:rsid w:val="00CE0041"/>
    <w:rPr>
      <w:u w:val="single"/>
    </w:rPr>
  </w:style>
  <w:style w:type="paragraph" w:customStyle="1" w:styleId="TableBodyTextRight">
    <w:name w:val="Table Body Text Right"/>
    <w:basedOn w:val="TableBodyText"/>
    <w:rsid w:val="00CE0041"/>
    <w:pPr>
      <w:widowControl w:val="0"/>
      <w:autoSpaceDE w:val="0"/>
      <w:autoSpaceDN w:val="0"/>
      <w:adjustRightInd w:val="0"/>
      <w:jc w:val="right"/>
    </w:pPr>
    <w:rPr>
      <w:rFonts w:cs="Arial"/>
      <w:szCs w:val="18"/>
    </w:rPr>
  </w:style>
  <w:style w:type="paragraph" w:customStyle="1" w:styleId="CopyrightText">
    <w:name w:val="Copyright Text"/>
    <w:basedOn w:val="BodyText"/>
    <w:rsid w:val="00CE0041"/>
    <w:rPr>
      <w:sz w:val="18"/>
    </w:rPr>
  </w:style>
  <w:style w:type="paragraph" w:customStyle="1" w:styleId="BodySmallRight">
    <w:name w:val="Body Small Right"/>
    <w:basedOn w:val="BodyTextRight"/>
    <w:rsid w:val="00CE0041"/>
    <w:rPr>
      <w:sz w:val="18"/>
      <w:szCs w:val="18"/>
    </w:rPr>
  </w:style>
  <w:style w:type="paragraph" w:customStyle="1" w:styleId="MarginEdition">
    <w:name w:val="Margin Edition"/>
    <w:basedOn w:val="MarginNote"/>
    <w:rsid w:val="00CE0041"/>
    <w:pPr>
      <w:spacing w:before="0" w:after="0"/>
    </w:pPr>
    <w:rPr>
      <w:rFonts w:ascii="Times New Roman" w:hAnsi="Times New Roman"/>
      <w:color w:val="999999"/>
    </w:rPr>
  </w:style>
  <w:style w:type="paragraph" w:customStyle="1" w:styleId="Spacer">
    <w:name w:val="Spacer"/>
    <w:basedOn w:val="Normal"/>
    <w:rsid w:val="00CE0041"/>
    <w:rPr>
      <w:sz w:val="2"/>
      <w:szCs w:val="2"/>
    </w:rPr>
  </w:style>
  <w:style w:type="character" w:customStyle="1" w:styleId="Small">
    <w:name w:val="Small"/>
    <w:basedOn w:val="DefaultParagraphFont"/>
    <w:rsid w:val="00CE0041"/>
    <w:rPr>
      <w:sz w:val="16"/>
    </w:rPr>
  </w:style>
  <w:style w:type="paragraph" w:customStyle="1" w:styleId="WideTable">
    <w:name w:val="Wide Table"/>
    <w:basedOn w:val="Normal"/>
    <w:rsid w:val="00CE0041"/>
    <w:pPr>
      <w:ind w:left="-1418"/>
    </w:pPr>
    <w:rPr>
      <w:sz w:val="2"/>
      <w:szCs w:val="2"/>
    </w:rPr>
  </w:style>
  <w:style w:type="character" w:styleId="PageNumber">
    <w:name w:val="page number"/>
    <w:basedOn w:val="DefaultParagraphFont"/>
    <w:rsid w:val="00CE0041"/>
  </w:style>
  <w:style w:type="paragraph" w:styleId="Quote">
    <w:name w:val="Quote"/>
    <w:basedOn w:val="Heading1"/>
    <w:link w:val="QuoteChar"/>
    <w:qFormat/>
    <w:rsid w:val="00CE0041"/>
    <w:rPr>
      <w:b w:val="0"/>
      <w:sz w:val="72"/>
      <w:szCs w:val="72"/>
      <w:lang w:val="en-NZ"/>
    </w:rPr>
  </w:style>
  <w:style w:type="character" w:customStyle="1" w:styleId="QuoteChar">
    <w:name w:val="Quote Char"/>
    <w:basedOn w:val="DefaultParagraphFont"/>
    <w:link w:val="Quote"/>
    <w:rsid w:val="00CE0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041"/>
    <w:pPr>
      <w:pageBreakBefore/>
    </w:pPr>
  </w:style>
  <w:style w:type="paragraph" w:customStyle="1" w:styleId="Border">
    <w:name w:val="Border"/>
    <w:basedOn w:val="Normal"/>
    <w:qFormat/>
    <w:rsid w:val="00CE0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041"/>
    <w:rPr>
      <w:b/>
      <w:bCs/>
      <w:i/>
      <w:iCs/>
      <w:color w:val="auto"/>
    </w:rPr>
  </w:style>
  <w:style w:type="paragraph" w:styleId="IntenseQuote">
    <w:name w:val="Intense Quote"/>
    <w:basedOn w:val="Normal"/>
    <w:next w:val="Normal"/>
    <w:link w:val="IntenseQuoteChar"/>
    <w:uiPriority w:val="30"/>
    <w:qFormat/>
    <w:rsid w:val="00CE0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0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041"/>
    <w:rPr>
      <w:smallCaps/>
      <w:color w:val="auto"/>
      <w:u w:val="single"/>
    </w:rPr>
  </w:style>
  <w:style w:type="character" w:styleId="IntenseReference">
    <w:name w:val="Intense Reference"/>
    <w:basedOn w:val="DefaultParagraphFont"/>
    <w:uiPriority w:val="32"/>
    <w:qFormat/>
    <w:rsid w:val="00CE0041"/>
    <w:rPr>
      <w:b/>
      <w:bCs/>
      <w:smallCaps/>
      <w:color w:val="auto"/>
      <w:spacing w:val="5"/>
      <w:u w:val="single"/>
    </w:rPr>
  </w:style>
  <w:style w:type="paragraph" w:customStyle="1" w:styleId="2ColumnHeading">
    <w:name w:val="2Column Heading"/>
    <w:basedOn w:val="BodyText"/>
    <w:qFormat/>
    <w:rsid w:val="00CE0041"/>
    <w:pPr>
      <w:spacing w:after="60"/>
      <w:ind w:left="-2268"/>
    </w:pPr>
    <w:rPr>
      <w:b/>
    </w:rPr>
  </w:style>
  <w:style w:type="paragraph" w:customStyle="1" w:styleId="Heading1TOC">
    <w:name w:val="Heading1 TOC"/>
    <w:basedOn w:val="Normal"/>
    <w:qFormat/>
    <w:rsid w:val="00CE0041"/>
    <w:pPr>
      <w:spacing w:before="240" w:after="120"/>
    </w:pPr>
    <w:rPr>
      <w:rFonts w:ascii="Times New Roman" w:hAnsi="Times New Roman"/>
      <w:b/>
      <w:sz w:val="32"/>
    </w:rPr>
  </w:style>
  <w:style w:type="paragraph" w:customStyle="1" w:styleId="Heading2TOC">
    <w:name w:val="Heading2 TOC"/>
    <w:basedOn w:val="Normal"/>
    <w:qFormat/>
    <w:rsid w:val="00CE0041"/>
    <w:pPr>
      <w:spacing w:before="240" w:after="60"/>
    </w:pPr>
    <w:rPr>
      <w:rFonts w:ascii="Times New Roman" w:hAnsi="Times New Roman"/>
      <w:b/>
      <w:sz w:val="28"/>
    </w:rPr>
  </w:style>
  <w:style w:type="character" w:customStyle="1" w:styleId="Underline">
    <w:name w:val="Underline"/>
    <w:basedOn w:val="DefaultParagraphFont"/>
    <w:qFormat/>
    <w:rsid w:val="00CE0041"/>
    <w:rPr>
      <w:u w:val="single"/>
    </w:rPr>
  </w:style>
  <w:style w:type="character" w:customStyle="1" w:styleId="BoldandItalics">
    <w:name w:val="Bold and Italics"/>
    <w:qFormat/>
    <w:rsid w:val="00CE0041"/>
    <w:rPr>
      <w:b/>
      <w:i/>
      <w:u w:val="none"/>
    </w:rPr>
  </w:style>
  <w:style w:type="paragraph" w:styleId="BalloonText">
    <w:name w:val="Balloon Text"/>
    <w:basedOn w:val="Normal"/>
    <w:link w:val="BalloonTextChar"/>
    <w:rsid w:val="00CE0041"/>
    <w:rPr>
      <w:rFonts w:ascii="Tahoma" w:hAnsi="Tahoma" w:cs="Tahoma"/>
      <w:sz w:val="16"/>
      <w:szCs w:val="16"/>
    </w:rPr>
  </w:style>
  <w:style w:type="character" w:customStyle="1" w:styleId="BalloonTextChar">
    <w:name w:val="Balloon Text Char"/>
    <w:basedOn w:val="DefaultParagraphFont"/>
    <w:link w:val="BalloonText"/>
    <w:rsid w:val="00CE00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0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0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041"/>
    <w:rPr>
      <w:b/>
      <w:color w:val="660033"/>
      <w:spacing w:val="0"/>
    </w:rPr>
  </w:style>
  <w:style w:type="paragraph" w:customStyle="1" w:styleId="Nameditemlist">
    <w:name w:val="Named item list"/>
    <w:basedOn w:val="BodyText"/>
    <w:qFormat/>
    <w:rsid w:val="00CE0041"/>
    <w:pPr>
      <w:tabs>
        <w:tab w:val="left" w:pos="2835"/>
      </w:tabs>
      <w:ind w:left="2835" w:hanging="2835"/>
    </w:pPr>
  </w:style>
  <w:style w:type="paragraph" w:customStyle="1" w:styleId="BodyTextnopadding">
    <w:name w:val="Body Text no padding"/>
    <w:basedOn w:val="BodyText"/>
    <w:qFormat/>
    <w:rsid w:val="00CE0041"/>
    <w:pPr>
      <w:spacing w:before="0" w:after="0"/>
    </w:pPr>
  </w:style>
  <w:style w:type="paragraph" w:customStyle="1" w:styleId="BodyTextBold">
    <w:name w:val="Body Text Bold"/>
    <w:basedOn w:val="BodyText"/>
    <w:qFormat/>
    <w:rsid w:val="00CE0041"/>
    <w:rPr>
      <w:b/>
    </w:rPr>
  </w:style>
  <w:style w:type="character" w:styleId="Hyperlink">
    <w:name w:val="Hyperlink"/>
    <w:basedOn w:val="DefaultParagraphFont"/>
    <w:uiPriority w:val="99"/>
    <w:unhideWhenUsed/>
    <w:rsid w:val="00E72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4691</Characters>
  <Application>Microsoft Office Word</Application>
  <DocSecurity>0</DocSecurity>
  <Lines>126</Lines>
  <Paragraphs>86</Paragraphs>
  <ScaleCrop>false</ScaleCrop>
  <Company>Author-it Software Corporation Ltd.</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RIIPRE204D Sinter materials</dc:title>
  <dc:subject>Approved</dc:subject>
  <dc:creator>PwC’s Skills for Australia</dc:creator>
  <cp:keywords>Release: 2</cp:keywords>
  <dc:description>Review Date: 12 April 2008</dc:description>
  <cp:lastModifiedBy>HSD_TPCMSd.prod</cp:lastModifiedBy>
  <cp:revision>3</cp:revision>
  <dcterms:created xsi:type="dcterms:W3CDTF">2021-01-25T10:22:00Z</dcterms:created>
  <dcterms:modified xsi:type="dcterms:W3CDTF">2021-01-25T10:22:00Z</dcterms:modified>
</cp:coreProperties>
</file>