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490" w:rsidP="00D71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RIIPRE203D Prepare for sintering activities</w:t>
      </w:r>
      <w:r>
        <w:fldChar w:fldCharType="end"/>
      </w:r>
    </w:p>
    <w:p w:rsidR="00D71490" w:rsidP="00D71490">
      <w:pPr>
        <w:pStyle w:val="Version"/>
        <w:sectPr w:rsidSect="00217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7AC1" w:rsidP="00217AC1">
      <w:pPr>
        <w:pStyle w:val="SuperHeading"/>
      </w:pPr>
      <w:r w:rsidRPr="00217AC1">
        <w:t>RIIPRE203D Prepare for sintering activities</w:t>
      </w:r>
    </w:p>
    <w:p w:rsidR="00000000" w:rsidRPr="00217AC1" w:rsidP="00217AC1">
      <w:pPr>
        <w:pStyle w:val="Heading1"/>
      </w:pPr>
      <w:bookmarkStart w:id="1" w:name="O_687738"/>
      <w:bookmarkEnd w:id="1"/>
      <w:r w:rsidRPr="00217A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714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Heading4"/>
              <w:rPr>
                <w:lang w:val="en-NZ"/>
              </w:rPr>
            </w:pPr>
            <w:r w:rsidRPr="00217A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Heading4"/>
              <w:rPr>
                <w:lang w:val="en-NZ"/>
              </w:rPr>
            </w:pPr>
            <w:r w:rsidRPr="00217AC1">
              <w:t>Comment</w:t>
            </w:r>
          </w:p>
        </w:tc>
      </w:tr>
      <w:tr w:rsidTr="00D71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This unit replaces RIIPRE203A Prepare for sintering activities</w:t>
            </w:r>
          </w:p>
        </w:tc>
      </w:tr>
      <w:tr w:rsidTr="00D71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C1" w:rsidP="00217AC1">
            <w:pPr>
              <w:pStyle w:val="BodyText"/>
            </w:pPr>
            <w:r w:rsidRPr="00217AC1">
              <w:t>Required frequency and volume of evidence amended in Performance evidence.</w:t>
            </w:r>
          </w:p>
          <w:p w:rsidR="00000000" w:rsidRPr="00217AC1" w:rsidP="00217AC1">
            <w:pPr>
              <w:pStyle w:val="BodyText"/>
            </w:pPr>
            <w:r w:rsidRPr="00217AC1">
              <w:t>Substantial amendments made in Assessment Conditions field, including: refe</w:t>
            </w:r>
            <w:r w:rsidRPr="00217AC1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217AC1" w:rsidP="00217AC1">
      <w:pPr>
        <w:pStyle w:val="BodyText"/>
      </w:pPr>
    </w:p>
    <w:p w:rsidR="00000000" w:rsidRPr="00217AC1" w:rsidP="00217AC1">
      <w:pPr>
        <w:pStyle w:val="AllowPageBreak"/>
      </w:pPr>
    </w:p>
    <w:p w:rsidR="00000000" w:rsidRPr="00217AC1" w:rsidP="00217AC1">
      <w:pPr>
        <w:pStyle w:val="Heading1"/>
      </w:pPr>
      <w:bookmarkStart w:id="2" w:name="O_687737"/>
      <w:bookmarkEnd w:id="2"/>
      <w:r w:rsidRPr="00217AC1">
        <w:t>Application</w:t>
      </w:r>
    </w:p>
    <w:p w:rsidR="00000000" w:rsidRPr="00217AC1" w:rsidP="00D71490">
      <w:pPr>
        <w:pStyle w:val="BodyText"/>
      </w:pPr>
      <w:r w:rsidRPr="00217AC1">
        <w:t>This unit describes a participant’</w:t>
      </w:r>
      <w:r w:rsidRPr="00217AC1">
        <w:t>s skills and knowledge required to apply prepare for sintering activities in Metalliferous mining.</w:t>
      </w:r>
    </w:p>
    <w:p w:rsidR="00D71490" w:rsidP="00D71490">
      <w:pPr>
        <w:pStyle w:val="BodyText"/>
      </w:pPr>
      <w:r w:rsidRPr="00217AC1">
        <w:t>This unit is appropriate for those working in operational roles. Licensing, legislative, regulatory and certification requirements that apply to this unit ca</w:t>
      </w:r>
      <w:r w:rsidRPr="00217AC1">
        <w:t>n vary between states, territories, and industry sectors. Relevant information must be sourced prior to application of the unit.</w:t>
      </w:r>
    </w:p>
    <w:p w:rsidR="00000000" w:rsidRPr="00217AC1" w:rsidP="00217AC1">
      <w:pPr>
        <w:pStyle w:val="Heading1"/>
      </w:pPr>
      <w:bookmarkStart w:id="3" w:name="O_687736"/>
      <w:bookmarkEnd w:id="3"/>
      <w:r w:rsidRPr="00217AC1">
        <w:t>Unit Sector</w:t>
      </w:r>
    </w:p>
    <w:p w:rsidR="00000000" w:rsidRPr="00217AC1" w:rsidP="00D71490">
      <w:pPr>
        <w:pStyle w:val="BodyText"/>
      </w:pPr>
      <w:r w:rsidRPr="00217AC1">
        <w:t>Metalliferous mining</w:t>
      </w:r>
    </w:p>
    <w:p w:rsidR="00000000" w:rsidRPr="00217AC1" w:rsidP="00217AC1">
      <w:pPr>
        <w:pStyle w:val="Heading1"/>
      </w:pPr>
      <w:bookmarkStart w:id="4" w:name="O_687735"/>
      <w:bookmarkEnd w:id="4"/>
      <w:r w:rsidRPr="00217A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7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1.</w:t>
            </w:r>
            <w:r w:rsidRPr="00217AC1">
              <w:tab/>
              <w:t xml:space="preserve">Prepare for sintering </w:t>
            </w:r>
            <w:r w:rsidRPr="00217AC1">
              <w:t>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C1" w:rsidP="00217AC1">
            <w:pPr>
              <w:pStyle w:val="BodyText"/>
            </w:pPr>
            <w:r w:rsidRPr="00217AC1">
              <w:t>1.1</w:t>
            </w:r>
            <w:r w:rsidRPr="00217AC1">
              <w:tab/>
              <w:t>Access, interpret and apply documentation and procedures for sintering activities and ensure the work activity is compliant</w:t>
            </w:r>
          </w:p>
          <w:p w:rsidR="00000000" w:rsidRPr="00217AC1" w:rsidP="00217AC1">
            <w:pPr>
              <w:pStyle w:val="BodyText"/>
            </w:pPr>
            <w:r w:rsidRPr="00217AC1">
              <w:t>1.2</w:t>
            </w:r>
            <w:r w:rsidRPr="00217AC1">
              <w:tab/>
              <w:t>Receive, interpret and clarify shift changeover details</w:t>
            </w:r>
          </w:p>
          <w:p w:rsidR="00000000" w:rsidRPr="00217AC1" w:rsidP="00217AC1">
            <w:pPr>
              <w:pStyle w:val="BodyText"/>
            </w:pPr>
            <w:r w:rsidRPr="00217AC1">
              <w:t>1.3</w:t>
            </w:r>
            <w:r w:rsidRPr="00217AC1">
              <w:tab/>
              <w:t>Communicate with other personnel using approved commu</w:t>
            </w:r>
            <w:r w:rsidRPr="00217AC1">
              <w:t xml:space="preserve">nication methods </w:t>
            </w:r>
          </w:p>
          <w:p w:rsidR="00000000" w:rsidRPr="00217AC1" w:rsidP="00217AC1">
            <w:pPr>
              <w:pStyle w:val="BodyText"/>
            </w:pPr>
            <w:r w:rsidRPr="00217AC1">
              <w:t>1.4</w:t>
            </w:r>
            <w:r w:rsidRPr="00217AC1">
              <w:tab/>
              <w:t>Select and wear personal protective equipment appropriate for work activities</w:t>
            </w:r>
          </w:p>
          <w:p w:rsidR="00000000" w:rsidRPr="00217AC1" w:rsidP="00217AC1">
            <w:pPr>
              <w:pStyle w:val="BodyText"/>
            </w:pPr>
            <w:r w:rsidRPr="00217AC1">
              <w:t>1.5</w:t>
            </w:r>
            <w:r w:rsidRPr="00217AC1">
              <w:tab/>
              <w:t xml:space="preserve">Identify, address and report potential risks and hazards </w:t>
            </w:r>
          </w:p>
          <w:p w:rsidR="00000000" w:rsidRPr="00217AC1" w:rsidP="00217AC1">
            <w:pPr>
              <w:pStyle w:val="BodyText"/>
            </w:pPr>
            <w:r w:rsidRPr="00217AC1">
              <w:t>1.6</w:t>
            </w:r>
            <w:r w:rsidRPr="00217AC1">
              <w:tab/>
              <w:t xml:space="preserve">Complete computer systems and equipment pre-start checks </w:t>
            </w:r>
          </w:p>
          <w:p w:rsidR="00000000" w:rsidRPr="00217AC1" w:rsidP="00217AC1">
            <w:pPr>
              <w:pStyle w:val="BodyText"/>
            </w:pPr>
            <w:r w:rsidRPr="00217AC1">
              <w:t>1.7</w:t>
            </w:r>
            <w:r w:rsidRPr="00217AC1">
              <w:tab/>
              <w:t>Identify, address and report</w:t>
            </w:r>
            <w:r w:rsidRPr="00217AC1">
              <w:t xml:space="preserve"> environmental issues</w:t>
            </w:r>
          </w:p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1.8</w:t>
            </w:r>
            <w:r w:rsidRPr="00217AC1">
              <w:tab/>
              <w:t>Check record and identify outstanding maintenance inspections and record identified defects</w:t>
            </w:r>
          </w:p>
        </w:tc>
      </w:tr>
      <w:tr w:rsidTr="00217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2.</w:t>
            </w:r>
            <w:r w:rsidRPr="00217AC1">
              <w:tab/>
              <w:t>Discharge and store raw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2.1</w:t>
            </w:r>
            <w:r w:rsidRPr="00217AC1">
              <w:tab/>
              <w:t>Discharge materials from transportation minimising spillage and/or delays</w:t>
            </w:r>
          </w:p>
        </w:tc>
      </w:tr>
      <w:tr w:rsidTr="00217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3.</w:t>
            </w:r>
            <w:r w:rsidRPr="00217AC1">
              <w:tab/>
              <w:t>Blend raw material</w:t>
            </w:r>
            <w:r w:rsidRPr="00217AC1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C1" w:rsidP="00217AC1">
            <w:pPr>
              <w:pStyle w:val="BodyText"/>
            </w:pPr>
            <w:r w:rsidRPr="00217AC1">
              <w:t>3.1</w:t>
            </w:r>
            <w:r w:rsidRPr="00217AC1">
              <w:tab/>
              <w:t>Construct required bed size by bedding materials to specification</w:t>
            </w:r>
          </w:p>
          <w:p w:rsidR="00000000" w:rsidRPr="00217AC1" w:rsidP="00217AC1">
            <w:pPr>
              <w:pStyle w:val="BodyText"/>
            </w:pPr>
            <w:r w:rsidRPr="00217AC1">
              <w:t>3.2</w:t>
            </w:r>
            <w:r w:rsidRPr="00217AC1">
              <w:tab/>
              <w:t>Maintain sufficient amount of materials to meet bed building requirements</w:t>
            </w:r>
          </w:p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3.3</w:t>
            </w:r>
            <w:r w:rsidRPr="00217AC1">
              <w:tab/>
              <w:t>Blend materials in specified sequence</w:t>
            </w:r>
          </w:p>
        </w:tc>
      </w:tr>
      <w:tr w:rsidTr="00217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C1">
            <w:pPr>
              <w:pStyle w:val="BodyText"/>
              <w:rPr>
                <w:lang w:val="en-NZ"/>
              </w:rPr>
            </w:pPr>
            <w:r w:rsidRPr="00217AC1">
              <w:t>4.</w:t>
            </w:r>
            <w:r w:rsidRPr="00217AC1">
              <w:tab/>
              <w:t>Distribute raw materials in readiness for sintering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C1" w:rsidP="00217AC1">
            <w:pPr>
              <w:pStyle w:val="BodyText"/>
            </w:pPr>
            <w:r w:rsidRPr="00217AC1">
              <w:t>4.1</w:t>
            </w:r>
            <w:r w:rsidRPr="00217AC1">
              <w:tab/>
            </w:r>
            <w:r w:rsidRPr="00217AC1">
              <w:t>Suppress dust using appropriate method</w:t>
            </w:r>
          </w:p>
          <w:p w:rsidR="00000000" w:rsidRPr="00217AC1" w:rsidP="00217AC1">
            <w:pPr>
              <w:pStyle w:val="BodyText"/>
            </w:pPr>
            <w:r w:rsidRPr="00217AC1">
              <w:t>4.2</w:t>
            </w:r>
            <w:r w:rsidRPr="00217AC1">
              <w:tab/>
              <w:t>Supply materials to required usage flow rates</w:t>
            </w:r>
          </w:p>
          <w:p w:rsidR="00000000" w:rsidRPr="00217AC1" w:rsidP="00217AC1">
            <w:pPr>
              <w:pStyle w:val="BodyText"/>
            </w:pPr>
            <w:r w:rsidRPr="00217AC1">
              <w:t>4.3</w:t>
            </w:r>
            <w:r w:rsidRPr="00217AC1">
              <w:tab/>
              <w:t>Store materials ready for use in designated area</w:t>
            </w:r>
          </w:p>
          <w:p w:rsidR="00000000" w:rsidRPr="00217AC1" w:rsidP="00217AC1">
            <w:pPr>
              <w:pStyle w:val="BodyText"/>
            </w:pPr>
            <w:r w:rsidRPr="00217AC1">
              <w:t>4.4</w:t>
            </w:r>
            <w:r w:rsidRPr="00217AC1">
              <w:tab/>
              <w:t>Accurately identify blended materials and transfer to designated area</w:t>
            </w:r>
          </w:p>
        </w:tc>
      </w:tr>
    </w:tbl>
    <w:p w:rsidR="00000000" w:rsidRPr="00217AC1" w:rsidP="00217AC1">
      <w:pPr>
        <w:pStyle w:val="BodyText"/>
      </w:pPr>
    </w:p>
    <w:p w:rsidR="00000000" w:rsidRPr="00217AC1" w:rsidP="00217AC1">
      <w:pPr>
        <w:pStyle w:val="AllowPageBreak"/>
      </w:pPr>
    </w:p>
    <w:p w:rsidR="00000000" w:rsidRPr="00217AC1" w:rsidP="00217AC1">
      <w:pPr>
        <w:pStyle w:val="Heading1"/>
      </w:pPr>
      <w:bookmarkStart w:id="5" w:name="O_687734"/>
      <w:bookmarkEnd w:id="5"/>
      <w:r w:rsidRPr="00217AC1">
        <w:t>Foundation Skills</w:t>
      </w:r>
    </w:p>
    <w:p w:rsidR="00D71490" w:rsidP="00D71490">
      <w:pPr>
        <w:pStyle w:val="BodyText"/>
      </w:pPr>
      <w:r w:rsidRPr="00217AC1">
        <w:t>Fou</w:t>
      </w:r>
      <w:r w:rsidRPr="00217AC1">
        <w:t>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17AC1" w:rsidP="00217AC1">
      <w:pPr>
        <w:pStyle w:val="Heading1"/>
      </w:pPr>
      <w:bookmarkStart w:id="6" w:name="O_687733"/>
      <w:bookmarkEnd w:id="6"/>
      <w:r w:rsidRPr="00217AC1">
        <w:t>Unit Mapping Information</w:t>
      </w:r>
    </w:p>
    <w:p w:rsidR="00000000" w:rsidRPr="00217AC1" w:rsidP="00D71490">
      <w:pPr>
        <w:pStyle w:val="BodyText"/>
      </w:pPr>
      <w:r w:rsidRPr="00217AC1">
        <w:t>RIIPR</w:t>
      </w:r>
      <w:r w:rsidRPr="00217AC1">
        <w:t>E203A Prepare for sintering activities</w:t>
      </w:r>
    </w:p>
    <w:p w:rsidR="00000000" w:rsidRPr="00217AC1" w:rsidP="00217AC1">
      <w:pPr>
        <w:pStyle w:val="Heading1"/>
      </w:pPr>
      <w:bookmarkStart w:id="7" w:name="O_687739"/>
      <w:bookmarkEnd w:id="7"/>
      <w:r w:rsidRPr="00217AC1">
        <w:t>Links</w:t>
      </w:r>
    </w:p>
    <w:p w:rsidR="00000000" w:rsidRPr="00217AC1" w:rsidP="00D71490">
      <w:pPr>
        <w:pStyle w:val="BodyText"/>
      </w:pPr>
      <w:r w:rsidRPr="00217A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12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7AC1" w:rsidP="00217AC1"/>
    <w:sectPr w:rsidSect="00217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 w:rsidP="00217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490" w:rsidP="00217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1490" w:rsidP="00217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AC1" w:rsidRPr="00D71490" w:rsidP="00D71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90" w:rsidRPr="002D2AF8" w:rsidP="00217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RIIPRE203D Prepare for sintering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71490" w:rsidP="00217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AC1"/>
  </w:style>
  <w:style w:type="character" w:customStyle="1" w:styleId="Heading1Char">
    <w:name w:val="Heading 1 Char"/>
    <w:basedOn w:val="DefaultParagraphFont"/>
    <w:link w:val="Heading1"/>
    <w:rsid w:val="00217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AC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7A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A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7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A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A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AC1"/>
    <w:rPr>
      <w:b/>
      <w:spacing w:val="0"/>
    </w:rPr>
  </w:style>
  <w:style w:type="paragraph" w:customStyle="1" w:styleId="SuperTitle">
    <w:name w:val="SuperTitle"/>
    <w:basedOn w:val="Title"/>
    <w:rsid w:val="00217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A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AC1"/>
    <w:rPr>
      <w:i/>
    </w:rPr>
  </w:style>
  <w:style w:type="paragraph" w:styleId="Caption">
    <w:name w:val="caption"/>
    <w:basedOn w:val="BodyText"/>
    <w:next w:val="Normal"/>
    <w:qFormat/>
    <w:rsid w:val="00217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AC1"/>
  </w:style>
  <w:style w:type="paragraph" w:styleId="TableofFigures">
    <w:name w:val="table of figures"/>
    <w:basedOn w:val="Normal"/>
    <w:next w:val="Normal"/>
    <w:semiHidden/>
    <w:rsid w:val="00217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A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AC1"/>
    <w:rPr>
      <w:rFonts w:ascii="Wingdings" w:hAnsi="Wingdings"/>
    </w:rPr>
  </w:style>
  <w:style w:type="paragraph" w:customStyle="1" w:styleId="TableHeading">
    <w:name w:val="Table Heading"/>
    <w:basedOn w:val="HeadingBase"/>
    <w:rsid w:val="00217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AC1"/>
    <w:rPr>
      <w:color w:val="0033CC"/>
      <w:u w:val="none"/>
    </w:rPr>
  </w:style>
  <w:style w:type="paragraph" w:customStyle="1" w:styleId="BodyTextRight">
    <w:name w:val="Body Text Right"/>
    <w:basedOn w:val="BodyText"/>
    <w:rsid w:val="00217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A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AC1"/>
    <w:rPr>
      <w:sz w:val="32"/>
    </w:rPr>
  </w:style>
  <w:style w:type="paragraph" w:customStyle="1" w:styleId="HeadingProcedure">
    <w:name w:val="Heading Procedure"/>
    <w:basedOn w:val="HeadingBase"/>
    <w:next w:val="Normal"/>
    <w:rsid w:val="00217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AC1"/>
    <w:pPr>
      <w:spacing w:before="60" w:after="60"/>
    </w:pPr>
  </w:style>
  <w:style w:type="paragraph" w:styleId="ListContinue">
    <w:name w:val="List Continue"/>
    <w:basedOn w:val="List"/>
    <w:rsid w:val="00217AC1"/>
    <w:pPr>
      <w:ind w:firstLine="0"/>
    </w:pPr>
  </w:style>
  <w:style w:type="paragraph" w:customStyle="1" w:styleId="ListNote">
    <w:name w:val="List Note"/>
    <w:basedOn w:val="List"/>
    <w:rsid w:val="00217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AC1"/>
    <w:rPr>
      <w:rFonts w:ascii="Courier New" w:hAnsi="Courier New"/>
    </w:rPr>
  </w:style>
  <w:style w:type="paragraph" w:customStyle="1" w:styleId="NoteBullet">
    <w:name w:val="Note Bullet"/>
    <w:basedOn w:val="Note"/>
    <w:rsid w:val="00217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A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AC1"/>
    <w:rPr>
      <w:b/>
      <w:smallCaps/>
    </w:rPr>
  </w:style>
  <w:style w:type="paragraph" w:customStyle="1" w:styleId="TableListNumber">
    <w:name w:val="Table List Number"/>
    <w:basedOn w:val="ListNumber"/>
    <w:rsid w:val="00217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AC1"/>
    <w:pPr>
      <w:numPr>
        <w:numId w:val="7"/>
      </w:numPr>
    </w:pPr>
  </w:style>
  <w:style w:type="paragraph" w:customStyle="1" w:styleId="ListAlpha2">
    <w:name w:val="List Alpha 2"/>
    <w:basedOn w:val="List2"/>
    <w:rsid w:val="00217AC1"/>
    <w:pPr>
      <w:numPr>
        <w:numId w:val="6"/>
      </w:numPr>
    </w:pPr>
  </w:style>
  <w:style w:type="paragraph" w:styleId="List2">
    <w:name w:val="List 2"/>
    <w:basedOn w:val="BodyText"/>
    <w:rsid w:val="00217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A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A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AC1"/>
    <w:pPr>
      <w:numPr>
        <w:numId w:val="2"/>
      </w:numPr>
    </w:pPr>
  </w:style>
  <w:style w:type="paragraph" w:styleId="ListContinue2">
    <w:name w:val="List Continue 2"/>
    <w:basedOn w:val="List2"/>
    <w:rsid w:val="00217AC1"/>
    <w:pPr>
      <w:ind w:firstLine="0"/>
    </w:pPr>
  </w:style>
  <w:style w:type="paragraph" w:styleId="ListContinue3">
    <w:name w:val="List Continue 3"/>
    <w:basedOn w:val="List3"/>
    <w:rsid w:val="00217AC1"/>
    <w:pPr>
      <w:ind w:left="1021" w:firstLine="0"/>
    </w:pPr>
  </w:style>
  <w:style w:type="paragraph" w:styleId="ListContinue4">
    <w:name w:val="List Continue 4"/>
    <w:basedOn w:val="List4"/>
    <w:rsid w:val="00217AC1"/>
    <w:pPr>
      <w:ind w:firstLine="0"/>
    </w:pPr>
  </w:style>
  <w:style w:type="paragraph" w:styleId="ListContinue5">
    <w:name w:val="List Continue 5"/>
    <w:basedOn w:val="List5"/>
    <w:rsid w:val="00217AC1"/>
    <w:pPr>
      <w:ind w:firstLine="0"/>
    </w:pPr>
  </w:style>
  <w:style w:type="paragraph" w:styleId="ListNumber3">
    <w:name w:val="List Number 3"/>
    <w:basedOn w:val="List3"/>
    <w:rsid w:val="00217AC1"/>
    <w:pPr>
      <w:numPr>
        <w:numId w:val="3"/>
      </w:numPr>
    </w:pPr>
  </w:style>
  <w:style w:type="paragraph" w:styleId="ListNumber4">
    <w:name w:val="List Number 4"/>
    <w:basedOn w:val="List4"/>
    <w:rsid w:val="00217AC1"/>
    <w:pPr>
      <w:numPr>
        <w:numId w:val="4"/>
      </w:numPr>
    </w:pPr>
  </w:style>
  <w:style w:type="paragraph" w:styleId="ListNumber5">
    <w:name w:val="List Number 5"/>
    <w:basedOn w:val="List5"/>
    <w:rsid w:val="00217AC1"/>
    <w:pPr>
      <w:numPr>
        <w:numId w:val="5"/>
      </w:numPr>
    </w:pPr>
  </w:style>
  <w:style w:type="paragraph" w:styleId="BlockText">
    <w:name w:val="Block Text"/>
    <w:basedOn w:val="Normal"/>
    <w:rsid w:val="00217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AC1"/>
    <w:rPr>
      <w:sz w:val="16"/>
      <w:vertAlign w:val="superscript"/>
    </w:rPr>
  </w:style>
  <w:style w:type="character" w:customStyle="1" w:styleId="Symbols">
    <w:name w:val="Symbols"/>
    <w:basedOn w:val="DefaultParagraphFont"/>
    <w:rsid w:val="00217AC1"/>
    <w:rPr>
      <w:rFonts w:ascii="Symbol" w:hAnsi="Symbol"/>
    </w:rPr>
  </w:style>
  <w:style w:type="character" w:customStyle="1" w:styleId="MenuOptions">
    <w:name w:val="Menu Options"/>
    <w:basedOn w:val="DefaultParagraphFont"/>
    <w:rsid w:val="00217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AC1"/>
    <w:rPr>
      <w:b/>
    </w:rPr>
  </w:style>
  <w:style w:type="character" w:customStyle="1" w:styleId="Underlined">
    <w:name w:val="Underlined"/>
    <w:basedOn w:val="DefaultParagraphFont"/>
    <w:rsid w:val="00217AC1"/>
    <w:rPr>
      <w:u w:val="single"/>
    </w:rPr>
  </w:style>
  <w:style w:type="paragraph" w:customStyle="1" w:styleId="TableBodyTextRight">
    <w:name w:val="Table Body Text Right"/>
    <w:basedOn w:val="TableBodyText"/>
    <w:rsid w:val="00217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AC1"/>
    <w:rPr>
      <w:sz w:val="18"/>
    </w:rPr>
  </w:style>
  <w:style w:type="paragraph" w:customStyle="1" w:styleId="BodySmallRight">
    <w:name w:val="Body Small Right"/>
    <w:basedOn w:val="BodyTextRight"/>
    <w:rsid w:val="00217AC1"/>
    <w:rPr>
      <w:sz w:val="18"/>
      <w:szCs w:val="18"/>
    </w:rPr>
  </w:style>
  <w:style w:type="paragraph" w:customStyle="1" w:styleId="MarginEdition">
    <w:name w:val="Margin Edition"/>
    <w:basedOn w:val="MarginNote"/>
    <w:rsid w:val="00217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AC1"/>
    <w:rPr>
      <w:sz w:val="2"/>
      <w:szCs w:val="2"/>
    </w:rPr>
  </w:style>
  <w:style w:type="character" w:customStyle="1" w:styleId="Small">
    <w:name w:val="Small"/>
    <w:basedOn w:val="DefaultParagraphFont"/>
    <w:rsid w:val="00217AC1"/>
    <w:rPr>
      <w:sz w:val="16"/>
    </w:rPr>
  </w:style>
  <w:style w:type="paragraph" w:customStyle="1" w:styleId="WideTable">
    <w:name w:val="Wide Table"/>
    <w:basedOn w:val="Normal"/>
    <w:rsid w:val="00217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AC1"/>
  </w:style>
  <w:style w:type="paragraph" w:styleId="Quote">
    <w:name w:val="Quote"/>
    <w:basedOn w:val="Heading1"/>
    <w:link w:val="QuoteChar"/>
    <w:qFormat/>
    <w:rsid w:val="00217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AC1"/>
    <w:pPr>
      <w:pageBreakBefore/>
    </w:pPr>
  </w:style>
  <w:style w:type="paragraph" w:customStyle="1" w:styleId="Border">
    <w:name w:val="Border"/>
    <w:basedOn w:val="Normal"/>
    <w:qFormat/>
    <w:rsid w:val="00217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AC1"/>
    <w:rPr>
      <w:u w:val="single"/>
    </w:rPr>
  </w:style>
  <w:style w:type="character" w:customStyle="1" w:styleId="BoldandItalics">
    <w:name w:val="Bold and Italics"/>
    <w:qFormat/>
    <w:rsid w:val="00217AC1"/>
    <w:rPr>
      <w:b/>
      <w:i/>
      <w:u w:val="none"/>
    </w:rPr>
  </w:style>
  <w:style w:type="paragraph" w:styleId="BalloonText">
    <w:name w:val="Balloon Text"/>
    <w:basedOn w:val="Normal"/>
    <w:link w:val="BalloonTextChar"/>
    <w:rsid w:val="00217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A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A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AC1"/>
    <w:pPr>
      <w:spacing w:before="0" w:after="0"/>
    </w:pPr>
  </w:style>
  <w:style w:type="paragraph" w:customStyle="1" w:styleId="BodyTextBold">
    <w:name w:val="Body Text Bold"/>
    <w:basedOn w:val="BodyText"/>
    <w:qFormat/>
    <w:rsid w:val="00217AC1"/>
    <w:rPr>
      <w:b/>
    </w:rPr>
  </w:style>
  <w:style w:type="character" w:styleId="Hyperlink">
    <w:name w:val="Hyperlink"/>
    <w:basedOn w:val="DefaultParagraphFont"/>
    <w:uiPriority w:val="99"/>
    <w:unhideWhenUsed/>
    <w:rsid w:val="00D71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2513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RIIPRE203D Prepare for sintering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