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3A79" w:rsidP="002B3A79">
      <w:pPr>
        <w:pStyle w:val="Title"/>
      </w:pPr>
      <w:r>
        <w:fldChar w:fldCharType="begin"/>
      </w:r>
      <w:r>
        <w:instrText xml:space="preserve"> TITLE   \* MERGEFORMAT </w:instrText>
      </w:r>
      <w:r>
        <w:fldChar w:fldCharType="separate"/>
      </w:r>
      <w:r>
        <w:t>RIIPRE203D Prepare for sintering activities</w:t>
      </w:r>
      <w:r>
        <w:fldChar w:fldCharType="end"/>
      </w:r>
    </w:p>
    <w:p w:rsidR="002B3A79" w:rsidP="002B3A79">
      <w:pPr>
        <w:pStyle w:val="Version"/>
        <w:sectPr w:rsidSect="00460A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60A2A" w:rsidP="00460A2A">
      <w:pPr>
        <w:pStyle w:val="SuperHeading"/>
      </w:pPr>
      <w:r w:rsidRPr="00460A2A">
        <w:t>RIIPRE203D Prepare for sintering activities</w:t>
      </w:r>
    </w:p>
    <w:p w:rsidR="00000000" w:rsidRPr="00460A2A" w:rsidP="00460A2A">
      <w:pPr>
        <w:pStyle w:val="Heading1"/>
      </w:pPr>
      <w:bookmarkStart w:id="1" w:name="O_687738"/>
      <w:bookmarkEnd w:id="1"/>
      <w:r w:rsidRPr="00460A2A">
        <w:t>Modification History</w:t>
      </w:r>
    </w:p>
    <w:tbl>
      <w:tblPr>
        <w:tblW w:w="0" w:type="auto"/>
        <w:tblCellMar>
          <w:left w:w="62" w:type="dxa"/>
          <w:right w:w="62" w:type="dxa"/>
        </w:tblCellMar>
        <w:tblLook w:val="0000"/>
      </w:tblPr>
      <w:tblGrid>
        <w:gridCol w:w="1107"/>
        <w:gridCol w:w="8089"/>
      </w:tblGrid>
      <w:tr w:rsidTr="002B3A79">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A2A">
            <w:pPr>
              <w:pStyle w:val="Heading4"/>
              <w:rPr>
                <w:lang w:val="en-NZ"/>
              </w:rPr>
            </w:pPr>
            <w:r w:rsidRPr="00460A2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A2A">
            <w:pPr>
              <w:pStyle w:val="Heading4"/>
              <w:rPr>
                <w:lang w:val="en-NZ"/>
              </w:rPr>
            </w:pPr>
            <w:r w:rsidRPr="00460A2A">
              <w:t>Comment</w:t>
            </w:r>
          </w:p>
        </w:tc>
      </w:tr>
      <w:tr w:rsidTr="002B3A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A2A">
            <w:pPr>
              <w:pStyle w:val="BodyText"/>
              <w:rPr>
                <w:lang w:val="en-NZ"/>
              </w:rPr>
            </w:pPr>
            <w:r w:rsidRPr="00460A2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A2A">
            <w:pPr>
              <w:pStyle w:val="BodyText"/>
              <w:rPr>
                <w:lang w:val="en-NZ"/>
              </w:rPr>
            </w:pPr>
            <w:r w:rsidRPr="00460A2A">
              <w:t>This unit replaces RIIPRE203A Prepare for sintering activities</w:t>
            </w:r>
          </w:p>
        </w:tc>
      </w:tr>
      <w:tr w:rsidTr="002B3A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A2A">
            <w:pPr>
              <w:pStyle w:val="BodyText"/>
              <w:rPr>
                <w:lang w:val="en-NZ"/>
              </w:rPr>
            </w:pPr>
            <w:r w:rsidRPr="00460A2A">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A2A" w:rsidP="00460A2A">
            <w:pPr>
              <w:pStyle w:val="BodyText"/>
            </w:pPr>
            <w:r w:rsidRPr="00460A2A">
              <w:t>Required frequency and volume of evidence amended in Performance evidence.</w:t>
            </w:r>
          </w:p>
          <w:p w:rsidR="00000000" w:rsidRPr="00460A2A" w:rsidP="00460A2A">
            <w:pPr>
              <w:pStyle w:val="BodyText"/>
            </w:pPr>
            <w:r w:rsidRPr="00460A2A">
              <w:t>Substantial amendments made in Assessment Conditions field, including: refe</w:t>
            </w:r>
            <w:r w:rsidRPr="00460A2A">
              <w:t>rences to Industry Sectors, assessor and subject matter expert experience requirements, how assessment should be conducted and what it should confirm.</w:t>
            </w:r>
          </w:p>
        </w:tc>
      </w:tr>
    </w:tbl>
    <w:p w:rsidR="00000000" w:rsidRPr="00460A2A" w:rsidP="00460A2A">
      <w:pPr>
        <w:pStyle w:val="BodyText"/>
      </w:pPr>
    </w:p>
    <w:p w:rsidR="00000000" w:rsidRPr="00460A2A" w:rsidP="00460A2A">
      <w:pPr>
        <w:pStyle w:val="AllowPageBreak"/>
      </w:pPr>
    </w:p>
    <w:p w:rsidR="00000000" w:rsidRPr="00460A2A" w:rsidP="00460A2A">
      <w:pPr>
        <w:pStyle w:val="Heading1"/>
      </w:pPr>
      <w:bookmarkStart w:id="2" w:name="O_687737"/>
      <w:bookmarkEnd w:id="2"/>
      <w:r w:rsidRPr="00460A2A">
        <w:t>Application</w:t>
      </w:r>
    </w:p>
    <w:p w:rsidR="00000000" w:rsidRPr="00460A2A" w:rsidP="002B3A79">
      <w:pPr>
        <w:pStyle w:val="BodyText"/>
      </w:pPr>
      <w:r w:rsidRPr="00460A2A">
        <w:t>This unit describes a participant’</w:t>
      </w:r>
      <w:r w:rsidRPr="00460A2A">
        <w:t>s skills and knowledge required to apply prepare for sintering activities in Metalliferous mining.</w:t>
      </w:r>
    </w:p>
    <w:p w:rsidR="002B3A79" w:rsidP="002B3A79">
      <w:pPr>
        <w:pStyle w:val="BodyText"/>
      </w:pPr>
      <w:r w:rsidRPr="00460A2A">
        <w:t>This unit is appropriate for those working in operational roles. Licensing, legislative, regulatory and certification requirements that apply to this unit ca</w:t>
      </w:r>
      <w:r w:rsidRPr="00460A2A">
        <w:t>n vary between states, territories, and industry sectors. Relevant information must be sourced prior to application of the unit.</w:t>
      </w:r>
    </w:p>
    <w:p w:rsidR="00000000" w:rsidRPr="00460A2A" w:rsidP="00460A2A">
      <w:pPr>
        <w:pStyle w:val="Heading1"/>
      </w:pPr>
      <w:bookmarkStart w:id="3" w:name="O_687736"/>
      <w:bookmarkEnd w:id="3"/>
      <w:r w:rsidRPr="00460A2A">
        <w:t>Unit Sector</w:t>
      </w:r>
    </w:p>
    <w:p w:rsidR="00000000" w:rsidRPr="00460A2A" w:rsidP="002B3A79">
      <w:pPr>
        <w:pStyle w:val="BodyText"/>
      </w:pPr>
      <w:r w:rsidRPr="00460A2A">
        <w:t>Metalliferous mining</w:t>
      </w:r>
    </w:p>
    <w:p w:rsidR="00000000" w:rsidRPr="00460A2A" w:rsidP="00460A2A">
      <w:pPr>
        <w:pStyle w:val="Heading1"/>
      </w:pPr>
      <w:bookmarkStart w:id="4" w:name="O_687735"/>
      <w:bookmarkEnd w:id="4"/>
      <w:r w:rsidRPr="00460A2A">
        <w:t>Elements and Performance Criteria</w:t>
      </w:r>
    </w:p>
    <w:tbl>
      <w:tblPr>
        <w:tblW w:w="9322" w:type="dxa"/>
        <w:tblLayout w:type="fixed"/>
        <w:tblCellMar>
          <w:left w:w="62" w:type="dxa"/>
          <w:right w:w="62" w:type="dxa"/>
        </w:tblCellMar>
        <w:tblLook w:val="0000"/>
      </w:tblPr>
      <w:tblGrid>
        <w:gridCol w:w="2438"/>
        <w:gridCol w:w="6884"/>
      </w:tblGrid>
      <w:tr w:rsidTr="00460A2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A2A">
            <w:pPr>
              <w:pStyle w:val="BodyText"/>
              <w:rPr>
                <w:lang w:val="en-NZ"/>
              </w:rPr>
            </w:pPr>
            <w:r w:rsidRPr="00460A2A">
              <w:t>1.</w:t>
            </w:r>
            <w:r w:rsidRPr="00460A2A">
              <w:tab/>
              <w:t xml:space="preserve">Prepare for sintering </w:t>
            </w:r>
            <w:r w:rsidRPr="00460A2A">
              <w:t>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A2A" w:rsidP="00460A2A">
            <w:pPr>
              <w:pStyle w:val="BodyText"/>
            </w:pPr>
            <w:r w:rsidRPr="00460A2A">
              <w:t>1.1</w:t>
            </w:r>
            <w:r w:rsidRPr="00460A2A">
              <w:tab/>
              <w:t>Access, interpret and apply documentation and procedures for sintering activities and ensure the work activity is compliant</w:t>
            </w:r>
          </w:p>
          <w:p w:rsidR="00000000" w:rsidRPr="00460A2A" w:rsidP="00460A2A">
            <w:pPr>
              <w:pStyle w:val="BodyText"/>
            </w:pPr>
            <w:r w:rsidRPr="00460A2A">
              <w:t>1.2</w:t>
            </w:r>
            <w:r w:rsidRPr="00460A2A">
              <w:tab/>
              <w:t>Receive, interpret and clarify shift changeover details</w:t>
            </w:r>
          </w:p>
          <w:p w:rsidR="00000000" w:rsidRPr="00460A2A" w:rsidP="00460A2A">
            <w:pPr>
              <w:pStyle w:val="BodyText"/>
            </w:pPr>
            <w:r w:rsidRPr="00460A2A">
              <w:t>1.3</w:t>
            </w:r>
            <w:r w:rsidRPr="00460A2A">
              <w:tab/>
              <w:t>Communicate with other personnel using approved commu</w:t>
            </w:r>
            <w:r w:rsidRPr="00460A2A">
              <w:t xml:space="preserve">nication methods </w:t>
            </w:r>
          </w:p>
          <w:p w:rsidR="00000000" w:rsidRPr="00460A2A" w:rsidP="00460A2A">
            <w:pPr>
              <w:pStyle w:val="BodyText"/>
            </w:pPr>
            <w:r w:rsidRPr="00460A2A">
              <w:t>1.4</w:t>
            </w:r>
            <w:r w:rsidRPr="00460A2A">
              <w:tab/>
              <w:t>Select and wear personal protective equipment appropriate for work activities</w:t>
            </w:r>
          </w:p>
          <w:p w:rsidR="00000000" w:rsidRPr="00460A2A" w:rsidP="00460A2A">
            <w:pPr>
              <w:pStyle w:val="BodyText"/>
            </w:pPr>
            <w:r w:rsidRPr="00460A2A">
              <w:t>1.5</w:t>
            </w:r>
            <w:r w:rsidRPr="00460A2A">
              <w:tab/>
              <w:t xml:space="preserve">Identify, address and report potential risks and hazards </w:t>
            </w:r>
          </w:p>
          <w:p w:rsidR="00000000" w:rsidRPr="00460A2A" w:rsidP="00460A2A">
            <w:pPr>
              <w:pStyle w:val="BodyText"/>
            </w:pPr>
            <w:r w:rsidRPr="00460A2A">
              <w:t>1.6</w:t>
            </w:r>
            <w:r w:rsidRPr="00460A2A">
              <w:tab/>
              <w:t xml:space="preserve">Complete computer systems and equipment pre-start checks </w:t>
            </w:r>
          </w:p>
          <w:p w:rsidR="00000000" w:rsidRPr="00460A2A" w:rsidP="00460A2A">
            <w:pPr>
              <w:pStyle w:val="BodyText"/>
            </w:pPr>
            <w:r w:rsidRPr="00460A2A">
              <w:t>1.7</w:t>
            </w:r>
            <w:r w:rsidRPr="00460A2A">
              <w:tab/>
              <w:t>Identify, address and report</w:t>
            </w:r>
            <w:r w:rsidRPr="00460A2A">
              <w:t xml:space="preserve"> environmental issues</w:t>
            </w:r>
          </w:p>
          <w:p w:rsidR="00000000" w:rsidP="00460A2A">
            <w:pPr>
              <w:pStyle w:val="BodyText"/>
              <w:rPr>
                <w:lang w:val="en-NZ"/>
              </w:rPr>
            </w:pPr>
            <w:r w:rsidRPr="00460A2A">
              <w:t>1.8</w:t>
            </w:r>
            <w:r w:rsidRPr="00460A2A">
              <w:tab/>
              <w:t>Check record and identify outstanding maintenance inspections and record identified defects</w:t>
            </w:r>
          </w:p>
        </w:tc>
      </w:tr>
      <w:tr w:rsidTr="00460A2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A2A">
            <w:pPr>
              <w:pStyle w:val="BodyText"/>
              <w:rPr>
                <w:lang w:val="en-NZ"/>
              </w:rPr>
            </w:pPr>
            <w:r w:rsidRPr="00460A2A">
              <w:t>2.</w:t>
            </w:r>
            <w:r w:rsidRPr="00460A2A">
              <w:tab/>
              <w:t>Discharge and store raw materials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A2A">
            <w:pPr>
              <w:pStyle w:val="BodyText"/>
              <w:rPr>
                <w:lang w:val="en-NZ"/>
              </w:rPr>
            </w:pPr>
            <w:r w:rsidRPr="00460A2A">
              <w:t>2.1</w:t>
            </w:r>
            <w:r w:rsidRPr="00460A2A">
              <w:tab/>
              <w:t>Discharge materials from transportation minimising spillage and/or delays</w:t>
            </w:r>
          </w:p>
        </w:tc>
      </w:tr>
      <w:tr w:rsidTr="00460A2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A2A">
            <w:pPr>
              <w:pStyle w:val="BodyText"/>
              <w:rPr>
                <w:lang w:val="en-NZ"/>
              </w:rPr>
            </w:pPr>
            <w:r w:rsidRPr="00460A2A">
              <w:t>3.</w:t>
            </w:r>
            <w:r w:rsidRPr="00460A2A">
              <w:tab/>
            </w:r>
            <w:r w:rsidRPr="00460A2A">
              <w:t>Blend raw materials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A2A" w:rsidP="00460A2A">
            <w:pPr>
              <w:pStyle w:val="BodyText"/>
            </w:pPr>
            <w:r w:rsidRPr="00460A2A">
              <w:t>3.1</w:t>
            </w:r>
            <w:r w:rsidRPr="00460A2A">
              <w:tab/>
              <w:t>Construct required bed size by bedding materials to specification</w:t>
            </w:r>
          </w:p>
          <w:p w:rsidR="00000000" w:rsidRPr="00460A2A" w:rsidP="00460A2A">
            <w:pPr>
              <w:pStyle w:val="BodyText"/>
            </w:pPr>
            <w:r w:rsidRPr="00460A2A">
              <w:t>3.2</w:t>
            </w:r>
            <w:r w:rsidRPr="00460A2A">
              <w:tab/>
              <w:t>Maintain sufficient amount of materials to meet bed building requirements</w:t>
            </w:r>
          </w:p>
          <w:p w:rsidR="00000000" w:rsidP="00460A2A">
            <w:pPr>
              <w:pStyle w:val="BodyText"/>
              <w:rPr>
                <w:lang w:val="en-NZ"/>
              </w:rPr>
            </w:pPr>
            <w:r w:rsidRPr="00460A2A">
              <w:t>3.3</w:t>
            </w:r>
            <w:r w:rsidRPr="00460A2A">
              <w:tab/>
              <w:t>Blend materials in specified sequence</w:t>
            </w:r>
          </w:p>
        </w:tc>
      </w:tr>
      <w:tr w:rsidTr="00460A2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A2A">
            <w:pPr>
              <w:pStyle w:val="BodyText"/>
              <w:rPr>
                <w:lang w:val="en-NZ"/>
              </w:rPr>
            </w:pPr>
            <w:r w:rsidRPr="00460A2A">
              <w:t>4.</w:t>
            </w:r>
            <w:r w:rsidRPr="00460A2A">
              <w:tab/>
              <w:t xml:space="preserve">Distribute raw materials in readiness for </w:t>
            </w:r>
            <w:r w:rsidRPr="00460A2A">
              <w:t>sintering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A2A" w:rsidP="00460A2A">
            <w:pPr>
              <w:pStyle w:val="BodyText"/>
            </w:pPr>
            <w:r w:rsidRPr="00460A2A">
              <w:t>4.1</w:t>
            </w:r>
            <w:r w:rsidRPr="00460A2A">
              <w:tab/>
              <w:t>Suppress dust using appropriate method</w:t>
            </w:r>
          </w:p>
          <w:p w:rsidR="00000000" w:rsidRPr="00460A2A" w:rsidP="00460A2A">
            <w:pPr>
              <w:pStyle w:val="BodyText"/>
            </w:pPr>
            <w:r w:rsidRPr="00460A2A">
              <w:t>4.2</w:t>
            </w:r>
            <w:r w:rsidRPr="00460A2A">
              <w:tab/>
              <w:t>Supply materials to required usage flow rates</w:t>
            </w:r>
          </w:p>
          <w:p w:rsidR="00000000" w:rsidRPr="00460A2A" w:rsidP="00460A2A">
            <w:pPr>
              <w:pStyle w:val="BodyText"/>
            </w:pPr>
            <w:r w:rsidRPr="00460A2A">
              <w:t>4.3</w:t>
            </w:r>
            <w:r w:rsidRPr="00460A2A">
              <w:tab/>
              <w:t>Store materials ready for use in designated area</w:t>
            </w:r>
          </w:p>
          <w:p w:rsidR="00000000" w:rsidRPr="00460A2A" w:rsidP="00460A2A">
            <w:pPr>
              <w:pStyle w:val="BodyText"/>
            </w:pPr>
            <w:r w:rsidRPr="00460A2A">
              <w:t>4.4</w:t>
            </w:r>
            <w:r w:rsidRPr="00460A2A">
              <w:tab/>
              <w:t>Accurately identify blended materials and transfer to designated area</w:t>
            </w:r>
          </w:p>
        </w:tc>
      </w:tr>
    </w:tbl>
    <w:p w:rsidR="00000000" w:rsidRPr="00460A2A" w:rsidP="00460A2A">
      <w:pPr>
        <w:pStyle w:val="BodyText"/>
      </w:pPr>
    </w:p>
    <w:p w:rsidR="00000000" w:rsidRPr="00460A2A" w:rsidP="00460A2A">
      <w:pPr>
        <w:pStyle w:val="AllowPageBreak"/>
      </w:pPr>
    </w:p>
    <w:p w:rsidR="00000000" w:rsidRPr="00460A2A" w:rsidP="00460A2A">
      <w:pPr>
        <w:pStyle w:val="Heading1"/>
      </w:pPr>
      <w:bookmarkStart w:id="5" w:name="O_687734"/>
      <w:bookmarkEnd w:id="5"/>
      <w:r w:rsidRPr="00460A2A">
        <w:t>Foundat</w:t>
      </w:r>
      <w:r w:rsidRPr="00460A2A">
        <w:t>ion Skills</w:t>
      </w:r>
    </w:p>
    <w:p w:rsidR="002B3A79" w:rsidP="002B3A79">
      <w:pPr>
        <w:pStyle w:val="BodyText"/>
      </w:pPr>
      <w:r w:rsidRPr="00460A2A">
        <w:t>Foundation skills essential to performance are explicit in the performance criteria of this unit. Further information is available in the Resources and Infrastructure Industry Training Package Companion Volume.</w:t>
      </w:r>
    </w:p>
    <w:p w:rsidR="00000000" w:rsidRPr="00460A2A" w:rsidP="00460A2A">
      <w:pPr>
        <w:pStyle w:val="Heading1"/>
      </w:pPr>
      <w:bookmarkStart w:id="6" w:name="O_687733"/>
      <w:bookmarkEnd w:id="6"/>
      <w:r w:rsidRPr="00460A2A">
        <w:t>Unit Mapping Inf</w:t>
      </w:r>
      <w:r w:rsidRPr="00460A2A">
        <w:t>ormation</w:t>
      </w:r>
    </w:p>
    <w:p w:rsidR="00000000" w:rsidRPr="00460A2A" w:rsidP="002B3A79">
      <w:pPr>
        <w:pStyle w:val="BodyText"/>
      </w:pPr>
      <w:r w:rsidRPr="00460A2A">
        <w:t>RIIPRE203A Prepare for sintering activities</w:t>
      </w:r>
    </w:p>
    <w:p w:rsidR="00000000" w:rsidRPr="00460A2A" w:rsidP="00460A2A">
      <w:pPr>
        <w:pStyle w:val="Heading1"/>
      </w:pPr>
      <w:bookmarkStart w:id="7" w:name="O_687739"/>
      <w:bookmarkEnd w:id="7"/>
      <w:r w:rsidRPr="00460A2A">
        <w:t>Links</w:t>
      </w:r>
    </w:p>
    <w:p w:rsidR="00000000" w:rsidRPr="00460A2A" w:rsidP="002B3A79">
      <w:pPr>
        <w:pStyle w:val="BodyText"/>
      </w:pPr>
      <w:r w:rsidRPr="00460A2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24AA1">
        <w:rPr>
          <w:rStyle w:val="Hyperlink"/>
        </w:rPr>
        <w:t>https://vetnet.gov.au/Pages/TrainingDocs.aspx?q=88a61002-9a21-4386-aaf8-69c76e675272</w:t>
      </w:r>
      <w:r>
        <w:fldChar w:fldCharType="end"/>
      </w:r>
    </w:p>
    <w:p w:rsidR="00000000" w:rsidRPr="00460A2A" w:rsidP="002B3A79">
      <w:pPr>
        <w:pStyle w:val="BodyText"/>
        <w:sectPr w:rsidSect="00460A2A">
          <w:headerReference w:type="default" r:id="rId10"/>
          <w:footerReference w:type="default" r:id="rId11"/>
          <w:pgSz w:w="11908" w:h="16833"/>
          <w:pgMar w:top="1702" w:right="1418" w:bottom="1702" w:left="1418" w:header="992" w:footer="992" w:gutter="0"/>
          <w:cols w:space="720"/>
          <w:noEndnote/>
          <w:docGrid w:linePitch="299"/>
        </w:sectPr>
      </w:pPr>
    </w:p>
    <w:p w:rsidR="00000000" w:rsidRPr="00460A2A" w:rsidP="00460A2A">
      <w:pPr>
        <w:pStyle w:val="SuperHeading"/>
      </w:pPr>
      <w:r w:rsidRPr="00460A2A">
        <w:t>Assessment Requirements for RIIPRE203D Prepare for sintering activities</w:t>
      </w:r>
    </w:p>
    <w:p w:rsidR="00000000" w:rsidRPr="00460A2A" w:rsidP="00460A2A">
      <w:pPr>
        <w:pStyle w:val="Heading1"/>
      </w:pPr>
      <w:bookmarkStart w:id="8" w:name="O_687730"/>
      <w:bookmarkEnd w:id="8"/>
      <w:r w:rsidRPr="00460A2A">
        <w:t>Modification History</w:t>
      </w:r>
    </w:p>
    <w:tbl>
      <w:tblPr>
        <w:tblW w:w="0" w:type="auto"/>
        <w:tblCellMar>
          <w:left w:w="62" w:type="dxa"/>
          <w:right w:w="62" w:type="dxa"/>
        </w:tblCellMar>
        <w:tblLook w:val="0000"/>
      </w:tblPr>
      <w:tblGrid>
        <w:gridCol w:w="1107"/>
        <w:gridCol w:w="8089"/>
      </w:tblGrid>
      <w:tr w:rsidTr="002B3A79">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A2A">
            <w:pPr>
              <w:pStyle w:val="Heading4"/>
              <w:rPr>
                <w:lang w:val="en-NZ"/>
              </w:rPr>
            </w:pPr>
            <w:r w:rsidRPr="00460A2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A2A">
            <w:pPr>
              <w:pStyle w:val="Heading4"/>
              <w:rPr>
                <w:lang w:val="en-NZ"/>
              </w:rPr>
            </w:pPr>
            <w:r w:rsidRPr="00460A2A">
              <w:t>Comment</w:t>
            </w:r>
          </w:p>
        </w:tc>
      </w:tr>
      <w:tr w:rsidTr="002B3A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A2A">
            <w:pPr>
              <w:pStyle w:val="BodyText"/>
              <w:rPr>
                <w:lang w:val="en-NZ"/>
              </w:rPr>
            </w:pPr>
            <w:r w:rsidRPr="00460A2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A2A">
            <w:pPr>
              <w:pStyle w:val="BodyText"/>
              <w:rPr>
                <w:lang w:val="en-NZ"/>
              </w:rPr>
            </w:pPr>
            <w:r w:rsidRPr="00460A2A">
              <w:t>This unit replaces RIIPRE203A Prepare for sintering activities</w:t>
            </w:r>
          </w:p>
        </w:tc>
      </w:tr>
      <w:tr w:rsidTr="002B3A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A2A">
            <w:pPr>
              <w:pStyle w:val="BodyText"/>
              <w:rPr>
                <w:lang w:val="en-NZ"/>
              </w:rPr>
            </w:pPr>
            <w:r w:rsidRPr="00460A2A">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A2A" w:rsidP="00460A2A">
            <w:pPr>
              <w:pStyle w:val="BodyText"/>
            </w:pPr>
            <w:r w:rsidRPr="00460A2A">
              <w:t>Required frequency and volume of evidence amended in Performance evidence.</w:t>
            </w:r>
          </w:p>
          <w:p w:rsidR="00000000" w:rsidRPr="00460A2A" w:rsidP="00460A2A">
            <w:pPr>
              <w:pStyle w:val="BodyText"/>
            </w:pPr>
            <w:r w:rsidRPr="00460A2A">
              <w:t>Substantial amendments made in Assessment Conditions field, including: references to Industry Sectors, assessor and subject matter expert experience requirements, how assessment sho</w:t>
            </w:r>
            <w:r w:rsidRPr="00460A2A">
              <w:t>uld be conducted and what it should confirm.</w:t>
            </w:r>
          </w:p>
        </w:tc>
      </w:tr>
    </w:tbl>
    <w:p w:rsidR="00000000" w:rsidRPr="00460A2A" w:rsidP="00460A2A">
      <w:pPr>
        <w:pStyle w:val="BodyText"/>
      </w:pPr>
    </w:p>
    <w:p w:rsidR="00000000" w:rsidRPr="00460A2A" w:rsidP="00460A2A">
      <w:pPr>
        <w:pStyle w:val="AllowPageBreak"/>
      </w:pPr>
    </w:p>
    <w:p w:rsidR="00000000" w:rsidRPr="00460A2A" w:rsidP="00460A2A">
      <w:pPr>
        <w:pStyle w:val="Heading1"/>
      </w:pPr>
      <w:bookmarkStart w:id="9" w:name="O_687729"/>
      <w:bookmarkEnd w:id="9"/>
      <w:r w:rsidRPr="00460A2A">
        <w:t>Performance Evidence</w:t>
      </w:r>
    </w:p>
    <w:p w:rsidR="00000000" w:rsidRPr="00460A2A" w:rsidP="002B3A79">
      <w:pPr>
        <w:pStyle w:val="BodyText"/>
      </w:pPr>
      <w:r w:rsidRPr="00460A2A">
        <w:t>Evidence is required to be collected that demonstrates a candidate’s competency in this unit. Evidence must be relevant to the roles within this sector’s work operations a</w:t>
      </w:r>
      <w:r w:rsidRPr="00460A2A">
        <w:t>nd satisfy all of the requirements of the performance criteria of this unit and include evidence that the candidate:</w:t>
      </w:r>
    </w:p>
    <w:p w:rsidR="00000000" w:rsidRPr="00460A2A" w:rsidP="00460A2A">
      <w:pPr>
        <w:pStyle w:val="ListBullet2"/>
      </w:pPr>
      <w:r w:rsidRPr="00460A2A">
        <w:t>locates and applies relevant documentation, policies and procedures</w:t>
      </w:r>
    </w:p>
    <w:p w:rsidR="00000000" w:rsidRPr="00460A2A" w:rsidP="00460A2A">
      <w:pPr>
        <w:pStyle w:val="ListBullet2"/>
      </w:pPr>
      <w:r w:rsidRPr="00460A2A">
        <w:t>implements the requirements, procedures and techniques for the safe, e</w:t>
      </w:r>
      <w:r w:rsidRPr="00460A2A">
        <w:t>ffective and efficient completion of sintering activities preparation including:</w:t>
      </w:r>
    </w:p>
    <w:p w:rsidR="00000000" w:rsidRPr="00460A2A" w:rsidP="00460A2A">
      <w:pPr>
        <w:pStyle w:val="ListBullet3"/>
      </w:pPr>
      <w:r w:rsidRPr="00460A2A">
        <w:t xml:space="preserve">discharging materials from transportation </w:t>
      </w:r>
    </w:p>
    <w:p w:rsidR="00000000" w:rsidRPr="00460A2A" w:rsidP="00460A2A">
      <w:pPr>
        <w:pStyle w:val="ListBullet3"/>
      </w:pPr>
      <w:r w:rsidRPr="00460A2A">
        <w:t xml:space="preserve">dust suppression </w:t>
      </w:r>
    </w:p>
    <w:p w:rsidR="00000000" w:rsidRPr="00460A2A" w:rsidP="00460A2A">
      <w:pPr>
        <w:pStyle w:val="ListBullet3"/>
      </w:pPr>
      <w:r w:rsidRPr="00460A2A">
        <w:t>identifying blended materials</w:t>
      </w:r>
    </w:p>
    <w:p w:rsidR="00000000" w:rsidRPr="00460A2A" w:rsidP="00460A2A">
      <w:pPr>
        <w:pStyle w:val="ListBullet3"/>
      </w:pPr>
      <w:r w:rsidRPr="00460A2A">
        <w:t>monitoring materials stocks/supply</w:t>
      </w:r>
    </w:p>
    <w:p w:rsidR="00000000" w:rsidRPr="00460A2A" w:rsidP="00460A2A">
      <w:pPr>
        <w:pStyle w:val="ListBullet"/>
      </w:pPr>
      <w:r w:rsidRPr="00460A2A">
        <w:t>demonstrates completion of sintering activities preparation that safely, effectively and efficiently meets all of the required outcomes on more than one (1) occasion including:</w:t>
      </w:r>
    </w:p>
    <w:p w:rsidR="00000000" w:rsidRPr="00460A2A" w:rsidP="00460A2A">
      <w:pPr>
        <w:pStyle w:val="ListBullet3"/>
      </w:pPr>
      <w:r w:rsidRPr="00460A2A">
        <w:t>discharging, blending and storing materials</w:t>
      </w:r>
    </w:p>
    <w:p w:rsidR="00000000" w:rsidRPr="00460A2A" w:rsidP="00460A2A">
      <w:pPr>
        <w:pStyle w:val="ListBullet3"/>
      </w:pPr>
      <w:r w:rsidRPr="00460A2A">
        <w:t>operating equipment to meet job re</w:t>
      </w:r>
      <w:r w:rsidRPr="00460A2A">
        <w:t>quirements</w:t>
      </w:r>
    </w:p>
    <w:p w:rsidR="00000000" w:rsidRPr="00460A2A" w:rsidP="00460A2A">
      <w:pPr>
        <w:pStyle w:val="ListBullet3"/>
      </w:pPr>
      <w:r w:rsidRPr="00460A2A">
        <w:t>constructing bed size to meet job requirements</w:t>
      </w:r>
    </w:p>
    <w:p w:rsidR="00000000" w:rsidRPr="00460A2A" w:rsidP="00460A2A">
      <w:pPr>
        <w:pStyle w:val="AllowPageBreak"/>
      </w:pPr>
    </w:p>
    <w:p w:rsidR="00000000" w:rsidRPr="00460A2A" w:rsidP="00460A2A">
      <w:pPr>
        <w:pStyle w:val="Heading1"/>
      </w:pPr>
      <w:bookmarkStart w:id="10" w:name="O_687728"/>
      <w:bookmarkEnd w:id="10"/>
      <w:r w:rsidRPr="00460A2A">
        <w:t>Knowledge Evidence</w:t>
      </w:r>
    </w:p>
    <w:p w:rsidR="00000000" w:rsidRPr="00460A2A" w:rsidP="002B3A79">
      <w:pPr>
        <w:pStyle w:val="BodyText"/>
      </w:pPr>
      <w:r w:rsidRPr="00460A2A">
        <w:t>The candidate must demonstrate knowledge of preparation for sintering activities through:</w:t>
      </w:r>
    </w:p>
    <w:p w:rsidR="00000000" w:rsidRPr="00460A2A" w:rsidP="00460A2A">
      <w:pPr>
        <w:pStyle w:val="ListBullet2"/>
      </w:pPr>
      <w:r w:rsidRPr="00460A2A">
        <w:t>blending procedures</w:t>
      </w:r>
    </w:p>
    <w:p w:rsidR="00000000" w:rsidRPr="00460A2A" w:rsidP="00460A2A">
      <w:pPr>
        <w:pStyle w:val="ListBullet2"/>
      </w:pPr>
      <w:r w:rsidRPr="00460A2A">
        <w:t>dangers presented by specified plant and equipment</w:t>
      </w:r>
    </w:p>
    <w:p w:rsidR="00000000" w:rsidRPr="00460A2A" w:rsidP="00460A2A">
      <w:pPr>
        <w:pStyle w:val="ListBullet2"/>
      </w:pPr>
      <w:r w:rsidRPr="00460A2A">
        <w:t>discharging methods</w:t>
      </w:r>
    </w:p>
    <w:p w:rsidR="00000000" w:rsidRPr="00460A2A" w:rsidP="00460A2A">
      <w:pPr>
        <w:pStyle w:val="ListBullet2"/>
      </w:pPr>
      <w:r w:rsidRPr="00460A2A">
        <w:t>quality control procedures</w:t>
      </w:r>
    </w:p>
    <w:p w:rsidR="00000000" w:rsidRPr="00460A2A" w:rsidP="00460A2A">
      <w:pPr>
        <w:pStyle w:val="ListBullet2"/>
      </w:pPr>
      <w:r w:rsidRPr="00460A2A">
        <w:t>report faults</w:t>
      </w:r>
    </w:p>
    <w:p w:rsidR="00000000" w:rsidRPr="00460A2A" w:rsidP="00460A2A">
      <w:pPr>
        <w:pStyle w:val="AllowPageBreak"/>
      </w:pPr>
    </w:p>
    <w:p w:rsidR="00000000" w:rsidRPr="00460A2A" w:rsidP="00460A2A">
      <w:pPr>
        <w:pStyle w:val="Heading1"/>
      </w:pPr>
      <w:bookmarkStart w:id="11" w:name="O_687727"/>
      <w:bookmarkEnd w:id="11"/>
      <w:r w:rsidRPr="00460A2A">
        <w:t>Assessment Conditions</w:t>
      </w:r>
    </w:p>
    <w:p w:rsidR="00000000" w:rsidRPr="00460A2A" w:rsidP="00460A2A">
      <w:pPr>
        <w:pStyle w:val="ListBullet"/>
      </w:pPr>
      <w:r w:rsidRPr="00460A2A">
        <w:t xml:space="preserve">An assessor of this unit must satisfy the requirements of the NVR/AQTF or their successors; and Industry regulations for certification and licensing; and, </w:t>
      </w:r>
    </w:p>
    <w:p w:rsidR="00000000" w:rsidRPr="00460A2A" w:rsidP="00460A2A">
      <w:pPr>
        <w:pStyle w:val="ListBullet"/>
      </w:pPr>
      <w:r w:rsidRPr="00460A2A">
        <w:t>this unit must be assessed in the context of this sector’s work environment; and,</w:t>
      </w:r>
    </w:p>
    <w:p w:rsidR="00000000" w:rsidRPr="00460A2A" w:rsidP="00460A2A">
      <w:pPr>
        <w:pStyle w:val="ListBullet"/>
      </w:pPr>
      <w:r w:rsidRPr="00460A2A">
        <w:t>this unit must be assessed in compliance with relevant legislation/regulation and using policies, procedures, processes and operational manuals directly related to the indus</w:t>
      </w:r>
      <w:r w:rsidRPr="00460A2A">
        <w:t>try sector for which it is being assessed; and,</w:t>
      </w:r>
    </w:p>
    <w:p w:rsidR="00000000" w:rsidRPr="00460A2A" w:rsidP="00460A2A">
      <w:pPr>
        <w:pStyle w:val="ListBullet"/>
      </w:pPr>
      <w:r w:rsidRPr="00460A2A">
        <w:t>assessment may be conducted in conjunction with the assessment of other Units of Competency; and,</w:t>
      </w:r>
    </w:p>
    <w:p w:rsidR="00000000" w:rsidRPr="00460A2A" w:rsidP="00460A2A">
      <w:pPr>
        <w:pStyle w:val="ListBullet"/>
      </w:pPr>
      <w:r w:rsidRPr="00460A2A">
        <w:t xml:space="preserve">assessment must confirm consistent performance can be applied in a range of relevant workplace circumstances; </w:t>
      </w:r>
      <w:r w:rsidRPr="00460A2A">
        <w:t>and,</w:t>
      </w:r>
    </w:p>
    <w:p w:rsidR="00000000" w:rsidRPr="00460A2A" w:rsidP="00460A2A">
      <w:pPr>
        <w:pStyle w:val="ListBullet"/>
      </w:pPr>
      <w:r w:rsidRPr="00460A2A">
        <w:t>assessors must demonstrate the performance evidence, and knowledge evidence as outlined in this Unit of Competency, and through the minimum years of current* work experience specified below in an Industry sector relevant to the outcomes of the unit; o</w:t>
      </w:r>
      <w:r w:rsidRPr="00460A2A">
        <w:t>r,</w:t>
      </w:r>
    </w:p>
    <w:p w:rsidR="00000000" w:rsidRPr="00460A2A" w:rsidP="00460A2A">
      <w:pPr>
        <w:pStyle w:val="ListBullet"/>
      </w:pPr>
      <w:r w:rsidRPr="00460A2A">
        <w:t>where the assessor does not meet experience requirements a co-assessment or partnership arrangement must exist between the qualified assessor and an Industry subject matter expert. The Industry subject matter expert should hold the unit being assessed (</w:t>
      </w:r>
      <w:r w:rsidRPr="00460A2A">
        <w:t>or an equivalent unit) and/or demonstrate equivalence of skills and knowledge at the unit level. An Industry technical expert must also demonstrate skills and knowledge from the minimum years of current work experience specified below in the Industry secto</w:t>
      </w:r>
      <w:r w:rsidRPr="00460A2A">
        <w:t>r, including time spent in roles related to the unit being assessed; and,</w:t>
      </w:r>
    </w:p>
    <w:p w:rsidR="00000000" w:rsidRPr="00460A2A" w:rsidP="00460A2A">
      <w:pPr>
        <w:pStyle w:val="ListBullet"/>
      </w:pPr>
      <w:r w:rsidRPr="00460A2A">
        <w:t>assessor and Industry subject matter expert requirements differ depending on the Australian Qualifications Framework Level (AQF) of the qualification being assessed and/or I</w:t>
      </w:r>
      <w:r w:rsidRPr="00460A2A">
        <w:t>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60A2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0A2A">
            <w:pPr>
              <w:pStyle w:val="SubHeading1"/>
              <w:rPr>
                <w:lang w:val="en-NZ"/>
              </w:rPr>
            </w:pPr>
            <w:r w:rsidRPr="00460A2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0A2A">
            <w:pPr>
              <w:pStyle w:val="SubHeading1"/>
              <w:rPr>
                <w:lang w:val="en-NZ"/>
              </w:rPr>
            </w:pPr>
            <w:r w:rsidRPr="00460A2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0A2A">
            <w:pPr>
              <w:pStyle w:val="SubHeading1"/>
              <w:rPr>
                <w:lang w:val="en-NZ"/>
              </w:rPr>
            </w:pPr>
            <w:r w:rsidRPr="00460A2A">
              <w:t>Required assessor or Industry subject matter expert experience</w:t>
            </w:r>
          </w:p>
        </w:tc>
      </w:tr>
      <w:tr w:rsidTr="00460A2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0A2A">
            <w:pPr>
              <w:pStyle w:val="BodyText"/>
              <w:rPr>
                <w:lang w:val="en-NZ"/>
              </w:rPr>
            </w:pPr>
            <w:r w:rsidRPr="00460A2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0A2A">
            <w:pPr>
              <w:pStyle w:val="BodyText"/>
              <w:rPr>
                <w:lang w:val="en-NZ"/>
              </w:rPr>
            </w:pPr>
            <w:r w:rsidRPr="00460A2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0A2A">
            <w:pPr>
              <w:pStyle w:val="BodyText"/>
              <w:rPr>
                <w:lang w:val="en-NZ"/>
              </w:rPr>
            </w:pPr>
            <w:r w:rsidRPr="00460A2A">
              <w:t>1 Year</w:t>
            </w:r>
          </w:p>
        </w:tc>
      </w:tr>
      <w:tr w:rsidTr="00460A2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0A2A">
            <w:pPr>
              <w:pStyle w:val="BodyText"/>
              <w:rPr>
                <w:lang w:val="en-NZ"/>
              </w:rPr>
            </w:pPr>
            <w:r w:rsidRPr="00460A2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0A2A">
            <w:pPr>
              <w:pStyle w:val="BodyText"/>
              <w:rPr>
                <w:lang w:val="en-NZ"/>
              </w:rPr>
            </w:pPr>
            <w:r w:rsidRPr="00460A2A">
              <w:t>2 Years</w:t>
            </w:r>
          </w:p>
        </w:tc>
      </w:tr>
      <w:tr w:rsidTr="00460A2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0A2A">
            <w:pPr>
              <w:pStyle w:val="BodyText"/>
              <w:rPr>
                <w:lang w:val="en-NZ"/>
              </w:rPr>
            </w:pPr>
            <w:r w:rsidRPr="00460A2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0A2A">
            <w:pPr>
              <w:pStyle w:val="BodyText"/>
              <w:rPr>
                <w:lang w:val="en-NZ"/>
              </w:rPr>
            </w:pPr>
            <w:r w:rsidRPr="00460A2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0A2A">
            <w:pPr>
              <w:pStyle w:val="BodyText"/>
              <w:rPr>
                <w:lang w:val="en-NZ"/>
              </w:rPr>
            </w:pPr>
            <w:r w:rsidRPr="00460A2A">
              <w:t>3 Years</w:t>
            </w:r>
          </w:p>
        </w:tc>
      </w:tr>
      <w:tr w:rsidTr="00460A2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0A2A">
            <w:pPr>
              <w:pStyle w:val="BodyText"/>
              <w:rPr>
                <w:lang w:val="en-NZ"/>
              </w:rPr>
            </w:pPr>
            <w:r w:rsidRPr="00460A2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0A2A">
            <w:pPr>
              <w:pStyle w:val="BodyText"/>
              <w:rPr>
                <w:lang w:val="en-NZ"/>
              </w:rPr>
            </w:pPr>
            <w:r w:rsidRPr="00460A2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0A2A">
            <w:pPr>
              <w:pStyle w:val="BodyText"/>
              <w:rPr>
                <w:lang w:val="en-NZ"/>
              </w:rPr>
            </w:pPr>
            <w:r w:rsidRPr="00460A2A">
              <w:t>5 Years</w:t>
            </w:r>
          </w:p>
        </w:tc>
      </w:tr>
      <w:tr w:rsidTr="00460A2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0A2A">
            <w:pPr>
              <w:pStyle w:val="BodyText"/>
              <w:rPr>
                <w:lang w:val="en-NZ"/>
              </w:rPr>
            </w:pPr>
            <w:r w:rsidRPr="00460A2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60A2A" w:rsidP="00460A2A">
            <w:pPr>
              <w:pStyle w:val="BodyText"/>
            </w:pPr>
            <w:r w:rsidRPr="00460A2A">
              <w:t>Where this Unit is being assessed outside of the Resources and Infrastructure Sectors assessor and/or Industry subject matter expert experience should be in-line with industry standards for the sector in which it is being assessed and where no Industry sta</w:t>
            </w:r>
            <w:r w:rsidRPr="00460A2A">
              <w:t>ndard is specified should comply with any relevant regulation.</w:t>
            </w:r>
          </w:p>
        </w:tc>
      </w:tr>
    </w:tbl>
    <w:p w:rsidR="00000000" w:rsidRPr="00460A2A" w:rsidP="002B3A79">
      <w:pPr>
        <w:pStyle w:val="BodyText"/>
      </w:pPr>
      <w:r w:rsidRPr="00460A2A">
        <w:t>*Assessors can demonstrate current work experience through employment within Industry in a role relevant to the outcomes of the Unit; or, for external assessors this can be demonstrated throu</w:t>
      </w:r>
      <w:r w:rsidRPr="00460A2A">
        <w:t>gh exposure to Industry by conducting frequent site assessments across various locations.</w:t>
      </w:r>
    </w:p>
    <w:p w:rsidR="002B3A79" w:rsidP="002B3A79">
      <w:pPr>
        <w:pStyle w:val="BodyText"/>
      </w:pPr>
      <w:r w:rsidRPr="00460A2A">
        <w:t>**Where a unit is being delivered outside of a Qualification the first numeric character in the Unit code should be considered to indicate the AQF level</w:t>
      </w:r>
    </w:p>
    <w:p w:rsidR="00000000" w:rsidRPr="00460A2A" w:rsidP="00460A2A">
      <w:pPr>
        <w:pStyle w:val="Heading1"/>
      </w:pPr>
      <w:bookmarkStart w:id="12" w:name="O_687740"/>
      <w:bookmarkEnd w:id="12"/>
      <w:r w:rsidRPr="00460A2A">
        <w:t>Links</w:t>
      </w:r>
    </w:p>
    <w:p w:rsidR="00000000" w:rsidRPr="00460A2A" w:rsidP="002B3A79">
      <w:pPr>
        <w:pStyle w:val="BodyText"/>
      </w:pPr>
      <w:r w:rsidRPr="00460A2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24AA1">
        <w:rPr>
          <w:rStyle w:val="Hyperlink"/>
        </w:rPr>
        <w:t>https://vetnet.gov.au/Pages/TrainingDocs.aspx?q=88a61002-9a21-4386-aaf8-69c76e675272</w:t>
      </w:r>
      <w:r>
        <w:fldChar w:fldCharType="end"/>
      </w:r>
    </w:p>
    <w:p w:rsidR="00000000" w:rsidRPr="00460A2A" w:rsidP="00460A2A"/>
    <w:sectPr w:rsidSect="00460A2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A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A2A" w:rsidRPr="002B3A79" w:rsidP="002B3A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A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A79" w:rsidP="00460A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3A79" w:rsidP="00460A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B3A79" w:rsidP="00460A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A2A" w:rsidP="00460A2A">
    <w:pPr>
      <w:pStyle w:val="Footer"/>
      <w:framePr w:wrap="around"/>
    </w:pPr>
    <w:r>
      <w:fldChar w:fldCharType="begin"/>
    </w:r>
    <w:r>
      <w:instrText xml:space="preserve"> DOCPROPERTY  Subject  \* MERGEFORMAT </w:instrText>
    </w:r>
    <w:r>
      <w:fldChar w:fldCharType="separate"/>
    </w:r>
    <w:r w:rsidR="002B3A79">
      <w:t>Approved</w:t>
    </w:r>
    <w:r w:rsidR="002B3A79">
      <w:fldChar w:fldCharType="end"/>
    </w:r>
    <w:r>
      <w:tab/>
      <w:t xml:space="preserve">Page </w:t>
    </w:r>
    <w:r>
      <w:fldChar w:fldCharType="begin"/>
    </w:r>
    <w:r>
      <w:instrText xml:space="preserve"> PAGE  \* Arabic  \* MERGEFORMAT </w:instrText>
    </w:r>
    <w:r>
      <w:fldChar w:fldCharType="separate"/>
    </w:r>
    <w:r w:rsidR="002B3A7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B3A79">
      <w:rPr>
        <w:noProof/>
      </w:rPr>
      <w:t>4</w:t>
    </w:r>
    <w:r>
      <w:rPr>
        <w:noProof/>
      </w:rPr>
      <w:fldChar w:fldCharType="end"/>
    </w:r>
  </w:p>
  <w:p w:rsidR="00460A2A" w:rsidP="00460A2A">
    <w:pPr>
      <w:pStyle w:val="Footer"/>
      <w:framePr w:wrap="around"/>
    </w:pPr>
    <w:r>
      <w:t xml:space="preserve">© Commonwealth of Australia, </w:t>
    </w:r>
    <w:r>
      <w:fldChar w:fldCharType="begin"/>
    </w:r>
    <w:r>
      <w:instrText xml:space="preserve"> DATE  \@ "yyyy"  \* MERGEFORMAT </w:instrText>
    </w:r>
    <w:r>
      <w:fldChar w:fldCharType="separate"/>
    </w:r>
    <w:r w:rsidR="002B3A79">
      <w:rPr>
        <w:noProof/>
      </w:rPr>
      <w:t>2025</w:t>
    </w:r>
    <w:r>
      <w:fldChar w:fldCharType="end"/>
    </w:r>
    <w:r>
      <w:tab/>
    </w:r>
    <w:r>
      <w:fldChar w:fldCharType="begin"/>
    </w:r>
    <w:r>
      <w:instrText xml:space="preserve"> DOCPROPERTY  Author  \* MERGEFORMAT </w:instrText>
    </w:r>
    <w:r>
      <w:fldChar w:fldCharType="separate"/>
    </w:r>
    <w:r w:rsidR="002B3A79">
      <w:t>Mining and Automotive Skills Alliance</w:t>
    </w:r>
    <w:r w:rsidR="002B3A79">
      <w:fldChar w:fldCharType="end"/>
    </w:r>
  </w:p>
  <w:p w:rsidR="00460A2A" w:rsidP="00460A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A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A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0A2A" w:rsidRPr="002B3A79" w:rsidP="002B3A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A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A79" w:rsidRPr="002D2AF8" w:rsidP="00460A2A">
    <w:pPr>
      <w:pStyle w:val="Header"/>
      <w:framePr w:wrap="around"/>
    </w:pPr>
    <w:r>
      <w:fldChar w:fldCharType="begin"/>
    </w:r>
    <w:r>
      <w:instrText xml:space="preserve"> TITLE   \* MERGEFORMAT </w:instrText>
    </w:r>
    <w:r>
      <w:fldChar w:fldCharType="separate"/>
    </w:r>
    <w:r>
      <w:t>RIIPRE203D Prepare for sintering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B3A79" w:rsidP="00460A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A2A" w:rsidRPr="002D2AF8" w:rsidP="00460A2A">
    <w:pPr>
      <w:pStyle w:val="Header"/>
      <w:framePr w:wrap="around"/>
    </w:pPr>
    <w:r>
      <w:fldChar w:fldCharType="begin"/>
    </w:r>
    <w:r>
      <w:instrText xml:space="preserve"> TITLE   \* MERGEFORMAT </w:instrText>
    </w:r>
    <w:r>
      <w:fldChar w:fldCharType="separate"/>
    </w:r>
    <w:r w:rsidR="002B3A79">
      <w:t>RIIPRE203D Prepare for sintering activities</w:t>
    </w:r>
    <w:r w:rsidR="002B3A79">
      <w:fldChar w:fldCharType="end"/>
    </w:r>
    <w:r>
      <w:tab/>
      <w:t xml:space="preserve">Date this document was generated: </w:t>
    </w:r>
    <w:r>
      <w:fldChar w:fldCharType="begin"/>
    </w:r>
    <w:r>
      <w:instrText xml:space="preserve"> CREATEDATE  \@ "d MMMM yyyy"  \* MERGEFORMAT </w:instrText>
    </w:r>
    <w:r>
      <w:fldChar w:fldCharType="separate"/>
    </w:r>
    <w:r w:rsidR="002B3A79">
      <w:rPr>
        <w:noProof/>
      </w:rPr>
      <w:t>2 March 2025</w:t>
    </w:r>
    <w:r>
      <w:fldChar w:fldCharType="end"/>
    </w:r>
  </w:p>
  <w:p w:rsidR="00460A2A" w:rsidP="00460A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DA48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0060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B0F1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A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0A2A"/>
    <w:pPr>
      <w:spacing w:before="360" w:after="60"/>
      <w:outlineLvl w:val="0"/>
    </w:pPr>
    <w:rPr>
      <w:sz w:val="32"/>
    </w:rPr>
  </w:style>
  <w:style w:type="paragraph" w:styleId="Heading2">
    <w:name w:val="heading 2"/>
    <w:basedOn w:val="HeadingBase"/>
    <w:next w:val="BodyText"/>
    <w:link w:val="Heading2Char"/>
    <w:qFormat/>
    <w:rsid w:val="00460A2A"/>
    <w:pPr>
      <w:keepLines/>
      <w:spacing w:before="240" w:after="120"/>
      <w:outlineLvl w:val="1"/>
    </w:pPr>
    <w:rPr>
      <w:sz w:val="28"/>
      <w:szCs w:val="40"/>
    </w:rPr>
  </w:style>
  <w:style w:type="paragraph" w:styleId="Heading3">
    <w:name w:val="heading 3"/>
    <w:basedOn w:val="HeadingBase"/>
    <w:next w:val="BodyText"/>
    <w:link w:val="Heading3Char"/>
    <w:qFormat/>
    <w:rsid w:val="00460A2A"/>
    <w:pPr>
      <w:spacing w:before="180" w:after="120"/>
      <w:outlineLvl w:val="2"/>
    </w:pPr>
    <w:rPr>
      <w:spacing w:val="-10"/>
      <w:kern w:val="32"/>
    </w:rPr>
  </w:style>
  <w:style w:type="paragraph" w:styleId="Heading4">
    <w:name w:val="heading 4"/>
    <w:basedOn w:val="HeadingBase"/>
    <w:next w:val="BodyText"/>
    <w:link w:val="Heading4Char"/>
    <w:qFormat/>
    <w:rsid w:val="00460A2A"/>
    <w:pPr>
      <w:spacing w:before="160" w:after="120"/>
      <w:outlineLvl w:val="3"/>
    </w:pPr>
    <w:rPr>
      <w:sz w:val="22"/>
    </w:rPr>
  </w:style>
  <w:style w:type="paragraph" w:styleId="Heading5">
    <w:name w:val="heading 5"/>
    <w:basedOn w:val="HeadingBase"/>
    <w:next w:val="Normal"/>
    <w:link w:val="Heading5Char"/>
    <w:qFormat/>
    <w:rsid w:val="00460A2A"/>
    <w:pPr>
      <w:spacing w:before="80"/>
      <w:outlineLvl w:val="4"/>
    </w:pPr>
    <w:rPr>
      <w:color w:val="918585"/>
      <w:sz w:val="20"/>
    </w:rPr>
  </w:style>
  <w:style w:type="paragraph" w:styleId="Heading6">
    <w:name w:val="heading 6"/>
    <w:basedOn w:val="HeadingBase"/>
    <w:next w:val="Normal"/>
    <w:link w:val="Heading6Char"/>
    <w:qFormat/>
    <w:rsid w:val="00460A2A"/>
    <w:pPr>
      <w:spacing w:before="60"/>
      <w:outlineLvl w:val="5"/>
    </w:pPr>
    <w:rPr>
      <w:color w:val="918585"/>
      <w:sz w:val="20"/>
    </w:rPr>
  </w:style>
  <w:style w:type="paragraph" w:styleId="Heading7">
    <w:name w:val="heading 7"/>
    <w:basedOn w:val="Normal"/>
    <w:next w:val="Normal"/>
    <w:link w:val="Heading7Char"/>
    <w:qFormat/>
    <w:rsid w:val="00460A2A"/>
    <w:pPr>
      <w:ind w:left="720"/>
      <w:outlineLvl w:val="6"/>
    </w:pPr>
    <w:rPr>
      <w:i/>
    </w:rPr>
  </w:style>
  <w:style w:type="paragraph" w:styleId="Heading8">
    <w:name w:val="heading 8"/>
    <w:basedOn w:val="Normal"/>
    <w:next w:val="Normal"/>
    <w:link w:val="Heading8Char"/>
    <w:qFormat/>
    <w:rsid w:val="00460A2A"/>
    <w:pPr>
      <w:ind w:left="720"/>
      <w:outlineLvl w:val="7"/>
    </w:pPr>
    <w:rPr>
      <w:i/>
    </w:rPr>
  </w:style>
  <w:style w:type="paragraph" w:styleId="Heading9">
    <w:name w:val="heading 9"/>
    <w:basedOn w:val="Normal"/>
    <w:next w:val="Normal"/>
    <w:link w:val="Heading9Char"/>
    <w:qFormat/>
    <w:rsid w:val="00460A2A"/>
    <w:pPr>
      <w:ind w:left="720"/>
      <w:outlineLvl w:val="8"/>
    </w:pPr>
    <w:rPr>
      <w:i/>
    </w:rPr>
  </w:style>
  <w:style w:type="character" w:default="1" w:styleId="DefaultParagraphFont">
    <w:name w:val="Default Paragraph Font"/>
    <w:uiPriority w:val="1"/>
    <w:unhideWhenUsed/>
    <w:rsid w:val="00460A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0A2A"/>
  </w:style>
  <w:style w:type="character" w:customStyle="1" w:styleId="Heading1Char">
    <w:name w:val="Heading 1 Char"/>
    <w:basedOn w:val="DefaultParagraphFont"/>
    <w:link w:val="Heading1"/>
    <w:rsid w:val="00460A2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60A2A"/>
    <w:rPr>
      <w:rFonts w:ascii="Times New Roman" w:eastAsia="Times New Roman" w:hAnsi="Times New Roman" w:cs="Times New Roman"/>
      <w:b/>
      <w:szCs w:val="20"/>
      <w:lang w:eastAsia="en-US"/>
    </w:rPr>
  </w:style>
  <w:style w:type="paragraph" w:styleId="BodyText">
    <w:name w:val="Body Text"/>
    <w:basedOn w:val="Normal"/>
    <w:link w:val="BodyTextChar"/>
    <w:rsid w:val="00460A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0A2A"/>
    <w:rPr>
      <w:rFonts w:ascii="Times New Roman" w:eastAsia="Times New Roman" w:hAnsi="Times New Roman" w:cs="Times New Roman"/>
      <w:sz w:val="24"/>
      <w:lang w:eastAsia="en-US"/>
    </w:rPr>
  </w:style>
  <w:style w:type="paragraph" w:styleId="ListBullet">
    <w:name w:val="List Bullet"/>
    <w:basedOn w:val="List"/>
    <w:rsid w:val="00460A2A"/>
    <w:pPr>
      <w:numPr>
        <w:numId w:val="13"/>
      </w:numPr>
      <w:tabs>
        <w:tab w:val="clear" w:pos="340"/>
      </w:tabs>
      <w:spacing w:before="40" w:after="40"/>
    </w:pPr>
  </w:style>
  <w:style w:type="paragraph" w:styleId="ListBullet2">
    <w:name w:val="List Bullet 2"/>
    <w:basedOn w:val="List2"/>
    <w:rsid w:val="00460A2A"/>
    <w:pPr>
      <w:numPr>
        <w:numId w:val="14"/>
      </w:numPr>
      <w:tabs>
        <w:tab w:val="clear" w:pos="680"/>
      </w:tabs>
    </w:pPr>
  </w:style>
  <w:style w:type="paragraph" w:customStyle="1" w:styleId="SuperHeading">
    <w:name w:val="SuperHeading"/>
    <w:basedOn w:val="Normal"/>
    <w:rsid w:val="00460A2A"/>
    <w:pPr>
      <w:spacing w:before="240" w:after="120"/>
      <w:outlineLvl w:val="0"/>
    </w:pPr>
    <w:rPr>
      <w:rFonts w:ascii="Times New Roman" w:hAnsi="Times New Roman"/>
      <w:b/>
      <w:sz w:val="32"/>
    </w:rPr>
  </w:style>
  <w:style w:type="paragraph" w:customStyle="1" w:styleId="AllowPageBreak">
    <w:name w:val="AllowPageBreak"/>
    <w:rsid w:val="00460A2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460A2A"/>
    <w:pPr>
      <w:spacing w:before="240" w:after="60"/>
    </w:pPr>
    <w:rPr>
      <w:color w:val="918585"/>
      <w:sz w:val="22"/>
    </w:rPr>
  </w:style>
  <w:style w:type="paragraph" w:styleId="ListBullet3">
    <w:name w:val="List Bullet 3"/>
    <w:basedOn w:val="List3"/>
    <w:rsid w:val="00460A2A"/>
    <w:pPr>
      <w:numPr>
        <w:numId w:val="3"/>
      </w:numPr>
      <w:tabs>
        <w:tab w:val="clear" w:pos="1021"/>
      </w:tabs>
      <w:ind w:left="1037" w:hanging="357"/>
    </w:pPr>
  </w:style>
  <w:style w:type="character" w:customStyle="1" w:styleId="Heading2Char">
    <w:name w:val="Heading 2 Char"/>
    <w:basedOn w:val="DefaultParagraphFont"/>
    <w:link w:val="Heading2"/>
    <w:rsid w:val="00460A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0A2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60A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0A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0A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0A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0A2A"/>
    <w:rPr>
      <w:rFonts w:ascii="Courier New" w:eastAsia="Times New Roman" w:hAnsi="Courier New" w:cs="Times New Roman"/>
      <w:i/>
      <w:szCs w:val="20"/>
      <w:lang w:eastAsia="en-US"/>
    </w:rPr>
  </w:style>
  <w:style w:type="paragraph" w:customStyle="1" w:styleId="HeadingBase">
    <w:name w:val="Heading Base"/>
    <w:rsid w:val="00460A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0A2A"/>
    <w:pPr>
      <w:tabs>
        <w:tab w:val="right" w:leader="dot" w:pos="9072"/>
      </w:tabs>
      <w:ind w:left="567"/>
    </w:pPr>
    <w:rPr>
      <w:szCs w:val="22"/>
    </w:rPr>
  </w:style>
  <w:style w:type="paragraph" w:customStyle="1" w:styleId="TOCBase">
    <w:name w:val="TOC Base"/>
    <w:rsid w:val="00460A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0A2A"/>
    <w:pPr>
      <w:tabs>
        <w:tab w:val="right" w:leader="dot" w:pos="9072"/>
      </w:tabs>
      <w:spacing w:before="40" w:after="40"/>
      <w:ind w:left="284"/>
    </w:pPr>
    <w:rPr>
      <w:rFonts w:ascii="Times New Roman" w:hAnsi="Times New Roman"/>
    </w:rPr>
  </w:style>
  <w:style w:type="paragraph" w:styleId="TOC1">
    <w:name w:val="toc 1"/>
    <w:basedOn w:val="TOCBase"/>
    <w:next w:val="Normal"/>
    <w:rsid w:val="00460A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0A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0A2A"/>
    <w:rPr>
      <w:rFonts w:ascii="Times New Roman" w:eastAsia="Times New Roman" w:hAnsi="Times New Roman" w:cs="Times New Roman"/>
      <w:sz w:val="16"/>
      <w:lang w:eastAsia="en-US"/>
    </w:rPr>
  </w:style>
  <w:style w:type="paragraph" w:styleId="Title">
    <w:name w:val="Title"/>
    <w:basedOn w:val="HeadingBase"/>
    <w:link w:val="TitleChar"/>
    <w:qFormat/>
    <w:rsid w:val="00460A2A"/>
    <w:pPr>
      <w:spacing w:before="5040"/>
      <w:jc w:val="center"/>
    </w:pPr>
    <w:rPr>
      <w:sz w:val="48"/>
      <w:szCs w:val="72"/>
      <w:lang w:val="en-US"/>
    </w:rPr>
  </w:style>
  <w:style w:type="character" w:customStyle="1" w:styleId="TitleChar">
    <w:name w:val="Title Char"/>
    <w:basedOn w:val="DefaultParagraphFont"/>
    <w:link w:val="Title"/>
    <w:rsid w:val="00460A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0A2A"/>
    <w:pPr>
      <w:tabs>
        <w:tab w:val="left" w:pos="3600"/>
        <w:tab w:val="left" w:pos="3958"/>
      </w:tabs>
    </w:pPr>
  </w:style>
  <w:style w:type="paragraph" w:styleId="List">
    <w:name w:val="List"/>
    <w:basedOn w:val="BodyText"/>
    <w:next w:val="BodyText"/>
    <w:rsid w:val="00460A2A"/>
    <w:pPr>
      <w:tabs>
        <w:tab w:val="left" w:pos="340"/>
      </w:tabs>
      <w:spacing w:before="60" w:after="60"/>
      <w:ind w:left="340" w:hanging="340"/>
    </w:pPr>
  </w:style>
  <w:style w:type="paragraph" w:customStyle="1" w:styleId="Note">
    <w:name w:val="Note"/>
    <w:basedOn w:val="BodyText"/>
    <w:rsid w:val="00460A2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60A2A"/>
    <w:rPr>
      <w:b/>
      <w:spacing w:val="0"/>
    </w:rPr>
  </w:style>
  <w:style w:type="paragraph" w:customStyle="1" w:styleId="SuperTitle">
    <w:name w:val="SuperTitle"/>
    <w:basedOn w:val="Title"/>
    <w:rsid w:val="00460A2A"/>
    <w:pPr>
      <w:framePr w:wrap="auto" w:hAnchor="text" w:y="6049"/>
    </w:pPr>
    <w:rPr>
      <w:color w:val="000000"/>
      <w:sz w:val="40"/>
    </w:rPr>
  </w:style>
  <w:style w:type="paragraph" w:customStyle="1" w:styleId="TOCTitle">
    <w:name w:val="TOCTitle"/>
    <w:basedOn w:val="Heading1"/>
    <w:rsid w:val="00460A2A"/>
    <w:pPr>
      <w:spacing w:after="240"/>
      <w:jc w:val="center"/>
      <w:outlineLvl w:val="9"/>
    </w:pPr>
    <w:rPr>
      <w:caps/>
    </w:rPr>
  </w:style>
  <w:style w:type="paragraph" w:customStyle="1" w:styleId="Version">
    <w:name w:val="Version"/>
    <w:rsid w:val="00460A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0A2A"/>
    <w:pPr>
      <w:keepNext w:val="0"/>
      <w:tabs>
        <w:tab w:val="right" w:pos="4176"/>
      </w:tabs>
      <w:ind w:left="198" w:hanging="198"/>
    </w:pPr>
    <w:rPr>
      <w:rFonts w:ascii="Garamond" w:hAnsi="Garamond"/>
    </w:rPr>
  </w:style>
  <w:style w:type="paragraph" w:styleId="IndexHeading">
    <w:name w:val="index heading"/>
    <w:basedOn w:val="Normal"/>
    <w:next w:val="Index1"/>
    <w:semiHidden/>
    <w:rsid w:val="00460A2A"/>
    <w:pPr>
      <w:spacing w:before="120" w:after="120"/>
    </w:pPr>
    <w:rPr>
      <w:rFonts w:ascii="Arial" w:hAnsi="Arial"/>
      <w:b/>
      <w:color w:val="918585"/>
      <w:sz w:val="24"/>
    </w:rPr>
  </w:style>
  <w:style w:type="paragraph" w:styleId="Header">
    <w:name w:val="header"/>
    <w:basedOn w:val="Normal"/>
    <w:link w:val="HeaderChar"/>
    <w:rsid w:val="00460A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0A2A"/>
    <w:rPr>
      <w:rFonts w:ascii="Times New Roman" w:eastAsia="Times New Roman" w:hAnsi="Times New Roman" w:cs="Times New Roman"/>
      <w:sz w:val="16"/>
      <w:szCs w:val="20"/>
      <w:lang w:val="en-GB" w:eastAsia="en-US"/>
    </w:rPr>
  </w:style>
  <w:style w:type="paragraph" w:customStyle="1" w:styleId="Chapter">
    <w:name w:val="Chapter"/>
    <w:basedOn w:val="Normal"/>
    <w:rsid w:val="00460A2A"/>
    <w:pPr>
      <w:spacing w:before="240"/>
    </w:pPr>
    <w:rPr>
      <w:rFonts w:ascii="Times New Roman" w:hAnsi="Times New Roman"/>
      <w:smallCaps/>
      <w:spacing w:val="80"/>
      <w:sz w:val="28"/>
    </w:rPr>
  </w:style>
  <w:style w:type="paragraph" w:customStyle="1" w:styleId="InChapter">
    <w:name w:val="InChapter"/>
    <w:basedOn w:val="Heading3"/>
    <w:rsid w:val="00460A2A"/>
    <w:pPr>
      <w:spacing w:after="240"/>
      <w:outlineLvl w:val="9"/>
    </w:pPr>
    <w:rPr>
      <w:noProof/>
    </w:rPr>
  </w:style>
  <w:style w:type="paragraph" w:styleId="Index2">
    <w:name w:val="index 2"/>
    <w:basedOn w:val="Normal"/>
    <w:next w:val="Normal"/>
    <w:semiHidden/>
    <w:rsid w:val="00460A2A"/>
    <w:pPr>
      <w:tabs>
        <w:tab w:val="right" w:pos="4176"/>
      </w:tabs>
      <w:ind w:left="568" w:hanging="284"/>
    </w:pPr>
    <w:rPr>
      <w:rFonts w:ascii="Garamond" w:hAnsi="Garamond"/>
    </w:rPr>
  </w:style>
  <w:style w:type="paragraph" w:customStyle="1" w:styleId="Byline">
    <w:name w:val="Byline"/>
    <w:rsid w:val="00460A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0A2A"/>
    <w:pPr>
      <w:tabs>
        <w:tab w:val="clear" w:pos="3600"/>
        <w:tab w:val="clear" w:pos="3958"/>
      </w:tabs>
      <w:jc w:val="right"/>
    </w:pPr>
  </w:style>
  <w:style w:type="character" w:styleId="Emphasis">
    <w:name w:val="Emphasis"/>
    <w:basedOn w:val="DefaultParagraphFont"/>
    <w:qFormat/>
    <w:rsid w:val="00460A2A"/>
    <w:rPr>
      <w:i/>
    </w:rPr>
  </w:style>
  <w:style w:type="paragraph" w:styleId="Caption">
    <w:name w:val="caption"/>
    <w:basedOn w:val="BodyText"/>
    <w:next w:val="Normal"/>
    <w:qFormat/>
    <w:rsid w:val="00460A2A"/>
    <w:pPr>
      <w:framePr w:w="2268" w:hSpace="181" w:vSpace="181" w:wrap="around" w:vAnchor="text" w:hAnchor="page" w:x="1135" w:y="285" w:anchorLock="1"/>
    </w:pPr>
    <w:rPr>
      <w:i/>
    </w:rPr>
  </w:style>
  <w:style w:type="paragraph" w:customStyle="1" w:styleId="MiniTOCTitle">
    <w:name w:val="MiniTOCTitle"/>
    <w:basedOn w:val="Heading4"/>
    <w:rsid w:val="00460A2A"/>
    <w:pPr>
      <w:spacing w:before="240"/>
      <w:outlineLvl w:val="9"/>
    </w:pPr>
    <w:rPr>
      <w:noProof/>
      <w:sz w:val="24"/>
    </w:rPr>
  </w:style>
  <w:style w:type="paragraph" w:customStyle="1" w:styleId="MiniTOCItem">
    <w:name w:val="MiniTOCItem"/>
    <w:basedOn w:val="ListBullet"/>
    <w:rsid w:val="00460A2A"/>
    <w:pPr>
      <w:numPr>
        <w:numId w:val="0"/>
      </w:numPr>
      <w:tabs>
        <w:tab w:val="right" w:leader="dot" w:pos="6521"/>
      </w:tabs>
      <w:spacing w:before="0" w:after="0"/>
    </w:pPr>
  </w:style>
  <w:style w:type="paragraph" w:customStyle="1" w:styleId="TOFTitle">
    <w:name w:val="TOFTitle"/>
    <w:basedOn w:val="TOCTitle"/>
    <w:rsid w:val="00460A2A"/>
  </w:style>
  <w:style w:type="paragraph" w:styleId="TableofFigures">
    <w:name w:val="table of figures"/>
    <w:basedOn w:val="Normal"/>
    <w:next w:val="Normal"/>
    <w:semiHidden/>
    <w:rsid w:val="00460A2A"/>
    <w:pPr>
      <w:tabs>
        <w:tab w:val="right" w:leader="dot" w:pos="9072"/>
      </w:tabs>
      <w:ind w:left="970" w:hanging="403"/>
    </w:pPr>
    <w:rPr>
      <w:rFonts w:ascii="Times New Roman" w:hAnsi="Times New Roman"/>
      <w:b/>
    </w:rPr>
  </w:style>
  <w:style w:type="paragraph" w:styleId="ListNumber">
    <w:name w:val="List Number"/>
    <w:basedOn w:val="List"/>
    <w:rsid w:val="00460A2A"/>
    <w:pPr>
      <w:numPr>
        <w:numId w:val="16"/>
      </w:numPr>
      <w:tabs>
        <w:tab w:val="clear" w:pos="340"/>
      </w:tabs>
    </w:pPr>
  </w:style>
  <w:style w:type="character" w:customStyle="1" w:styleId="WingdingSymbols">
    <w:name w:val="Wingding Symbols"/>
    <w:rsid w:val="00460A2A"/>
    <w:rPr>
      <w:rFonts w:ascii="Wingdings" w:hAnsi="Wingdings"/>
    </w:rPr>
  </w:style>
  <w:style w:type="paragraph" w:customStyle="1" w:styleId="TableHeading">
    <w:name w:val="Table Heading"/>
    <w:basedOn w:val="HeadingBase"/>
    <w:rsid w:val="00460A2A"/>
    <w:pPr>
      <w:keepLines/>
      <w:pBdr>
        <w:bottom w:val="single" w:sz="6" w:space="1" w:color="918585"/>
      </w:pBdr>
      <w:spacing w:before="240"/>
    </w:pPr>
  </w:style>
  <w:style w:type="character" w:customStyle="1" w:styleId="HotSpot">
    <w:name w:val="HotSpot"/>
    <w:rsid w:val="00460A2A"/>
    <w:rPr>
      <w:color w:val="0033CC"/>
      <w:u w:val="none"/>
    </w:rPr>
  </w:style>
  <w:style w:type="paragraph" w:customStyle="1" w:styleId="BodyTextRight">
    <w:name w:val="Body Text Right"/>
    <w:basedOn w:val="BodyText"/>
    <w:rsid w:val="00460A2A"/>
    <w:pPr>
      <w:spacing w:before="0" w:after="0"/>
      <w:jc w:val="right"/>
    </w:pPr>
  </w:style>
  <w:style w:type="paragraph" w:styleId="Index3">
    <w:name w:val="index 3"/>
    <w:basedOn w:val="ListNumber2"/>
    <w:next w:val="Normal"/>
    <w:semiHidden/>
    <w:rsid w:val="00460A2A"/>
    <w:pPr>
      <w:numPr>
        <w:numId w:val="0"/>
      </w:numPr>
      <w:tabs>
        <w:tab w:val="right" w:leader="dot" w:pos="4176"/>
      </w:tabs>
    </w:pPr>
  </w:style>
  <w:style w:type="paragraph" w:styleId="ListNumber2">
    <w:name w:val="List Number 2"/>
    <w:basedOn w:val="List2"/>
    <w:rsid w:val="00460A2A"/>
    <w:pPr>
      <w:numPr>
        <w:numId w:val="11"/>
      </w:numPr>
      <w:tabs>
        <w:tab w:val="clear" w:pos="1060"/>
      </w:tabs>
    </w:pPr>
  </w:style>
  <w:style w:type="paragraph" w:customStyle="1" w:styleId="MarginNote">
    <w:name w:val="Margin Note"/>
    <w:basedOn w:val="BodyText"/>
    <w:rsid w:val="00460A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0A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0A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0A2A"/>
    <w:rPr>
      <w:sz w:val="32"/>
    </w:rPr>
  </w:style>
  <w:style w:type="paragraph" w:customStyle="1" w:styleId="HeadingProcedure">
    <w:name w:val="Heading Procedure"/>
    <w:basedOn w:val="HeadingBase"/>
    <w:next w:val="Normal"/>
    <w:rsid w:val="00460A2A"/>
    <w:pPr>
      <w:tabs>
        <w:tab w:val="left" w:pos="0"/>
      </w:tabs>
      <w:spacing w:before="120" w:after="60"/>
    </w:pPr>
    <w:rPr>
      <w:i/>
      <w:color w:val="918585"/>
      <w:sz w:val="22"/>
    </w:rPr>
  </w:style>
  <w:style w:type="paragraph" w:customStyle="1" w:styleId="TableBodyText">
    <w:name w:val="Table Body Text"/>
    <w:basedOn w:val="BodyText"/>
    <w:rsid w:val="00460A2A"/>
    <w:pPr>
      <w:spacing w:before="60" w:after="60"/>
    </w:pPr>
  </w:style>
  <w:style w:type="paragraph" w:styleId="ListContinue">
    <w:name w:val="List Continue"/>
    <w:basedOn w:val="List"/>
    <w:rsid w:val="00460A2A"/>
    <w:pPr>
      <w:ind w:firstLine="0"/>
    </w:pPr>
  </w:style>
  <w:style w:type="paragraph" w:customStyle="1" w:styleId="ListNote">
    <w:name w:val="List Note"/>
    <w:basedOn w:val="List"/>
    <w:rsid w:val="00460A2A"/>
    <w:pPr>
      <w:pBdr>
        <w:top w:val="single" w:sz="6" w:space="2" w:color="918585"/>
        <w:bottom w:val="single" w:sz="6" w:space="2" w:color="918585"/>
      </w:pBdr>
      <w:tabs>
        <w:tab w:val="left" w:pos="1021"/>
      </w:tabs>
      <w:ind w:firstLine="0"/>
    </w:pPr>
  </w:style>
  <w:style w:type="paragraph" w:customStyle="1" w:styleId="Warning">
    <w:name w:val="Warning"/>
    <w:basedOn w:val="BodyText"/>
    <w:rsid w:val="00460A2A"/>
    <w:pPr>
      <w:shd w:val="clear" w:color="auto" w:fill="D9D9D9"/>
      <w:tabs>
        <w:tab w:val="left" w:pos="992"/>
      </w:tabs>
      <w:ind w:left="119" w:right="119"/>
    </w:pPr>
    <w:rPr>
      <w:sz w:val="20"/>
    </w:rPr>
  </w:style>
  <w:style w:type="paragraph" w:customStyle="1" w:styleId="MarginIcons">
    <w:name w:val="Margin Icons"/>
    <w:basedOn w:val="BodyText"/>
    <w:rsid w:val="00460A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0A2A"/>
    <w:rPr>
      <w:rFonts w:ascii="Courier New" w:hAnsi="Courier New"/>
    </w:rPr>
  </w:style>
  <w:style w:type="paragraph" w:customStyle="1" w:styleId="NoteBullet">
    <w:name w:val="Note Bullet"/>
    <w:basedOn w:val="Note"/>
    <w:rsid w:val="00460A2A"/>
    <w:pPr>
      <w:tabs>
        <w:tab w:val="clear" w:pos="680"/>
      </w:tabs>
      <w:spacing w:before="60" w:after="60"/>
    </w:pPr>
  </w:style>
  <w:style w:type="paragraph" w:customStyle="1" w:styleId="SubHeading2">
    <w:name w:val="SubHeading2"/>
    <w:basedOn w:val="HeadingBase"/>
    <w:rsid w:val="00460A2A"/>
    <w:pPr>
      <w:spacing w:before="240" w:after="60"/>
    </w:pPr>
    <w:rPr>
      <w:sz w:val="20"/>
    </w:rPr>
  </w:style>
  <w:style w:type="paragraph" w:customStyle="1" w:styleId="SideHeading">
    <w:name w:val="Side Heading"/>
    <w:basedOn w:val="HeadingBase"/>
    <w:rsid w:val="00460A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0A2A"/>
    <w:pPr>
      <w:numPr>
        <w:numId w:val="12"/>
      </w:numPr>
    </w:pPr>
  </w:style>
  <w:style w:type="paragraph" w:styleId="PlainText">
    <w:name w:val="Plain Text"/>
    <w:basedOn w:val="Normal"/>
    <w:link w:val="PlainTextChar"/>
    <w:rsid w:val="00460A2A"/>
    <w:rPr>
      <w:sz w:val="20"/>
    </w:rPr>
  </w:style>
  <w:style w:type="character" w:customStyle="1" w:styleId="PlainTextChar">
    <w:name w:val="Plain Text Char"/>
    <w:basedOn w:val="DefaultParagraphFont"/>
    <w:link w:val="PlainText"/>
    <w:rsid w:val="00460A2A"/>
    <w:rPr>
      <w:rFonts w:ascii="Courier New" w:eastAsia="Times New Roman" w:hAnsi="Courier New" w:cs="Times New Roman"/>
      <w:sz w:val="20"/>
      <w:szCs w:val="20"/>
      <w:lang w:eastAsia="en-US"/>
    </w:rPr>
  </w:style>
  <w:style w:type="character" w:customStyle="1" w:styleId="MenuOption">
    <w:name w:val="Menu Option"/>
    <w:basedOn w:val="DefaultParagraphFont"/>
    <w:rsid w:val="00460A2A"/>
    <w:rPr>
      <w:b/>
      <w:smallCaps/>
    </w:rPr>
  </w:style>
  <w:style w:type="paragraph" w:customStyle="1" w:styleId="TableListNumber">
    <w:name w:val="Table List Number"/>
    <w:basedOn w:val="ListNumber"/>
    <w:rsid w:val="00460A2A"/>
    <w:pPr>
      <w:numPr>
        <w:numId w:val="0"/>
      </w:numPr>
    </w:pPr>
  </w:style>
  <w:style w:type="paragraph" w:styleId="TOC4">
    <w:name w:val="toc 4"/>
    <w:basedOn w:val="TOCBase"/>
    <w:next w:val="Normal"/>
    <w:semiHidden/>
    <w:rsid w:val="00460A2A"/>
    <w:pPr>
      <w:tabs>
        <w:tab w:val="right" w:leader="dot" w:pos="9071"/>
      </w:tabs>
      <w:ind w:left="1701"/>
    </w:pPr>
  </w:style>
  <w:style w:type="paragraph" w:customStyle="1" w:styleId="ListAlpha">
    <w:name w:val="List Alpha"/>
    <w:basedOn w:val="List"/>
    <w:rsid w:val="00460A2A"/>
    <w:pPr>
      <w:numPr>
        <w:numId w:val="10"/>
      </w:numPr>
    </w:pPr>
  </w:style>
  <w:style w:type="paragraph" w:customStyle="1" w:styleId="ListAlpha2">
    <w:name w:val="List Alpha 2"/>
    <w:basedOn w:val="List2"/>
    <w:rsid w:val="00460A2A"/>
    <w:pPr>
      <w:numPr>
        <w:numId w:val="9"/>
      </w:numPr>
    </w:pPr>
  </w:style>
  <w:style w:type="paragraph" w:styleId="List2">
    <w:name w:val="List 2"/>
    <w:basedOn w:val="BodyText"/>
    <w:rsid w:val="00460A2A"/>
    <w:pPr>
      <w:tabs>
        <w:tab w:val="left" w:pos="680"/>
      </w:tabs>
      <w:spacing w:before="60" w:after="60"/>
      <w:ind w:left="680" w:hanging="340"/>
    </w:pPr>
  </w:style>
  <w:style w:type="paragraph" w:styleId="List3">
    <w:name w:val="List 3"/>
    <w:basedOn w:val="BodyText"/>
    <w:rsid w:val="00460A2A"/>
    <w:pPr>
      <w:tabs>
        <w:tab w:val="left" w:pos="1021"/>
      </w:tabs>
      <w:spacing w:before="60" w:after="60"/>
      <w:ind w:left="1020" w:hanging="340"/>
    </w:pPr>
  </w:style>
  <w:style w:type="paragraph" w:styleId="List4">
    <w:name w:val="List 4"/>
    <w:basedOn w:val="BodyText"/>
    <w:rsid w:val="00460A2A"/>
    <w:pPr>
      <w:tabs>
        <w:tab w:val="left" w:pos="1361"/>
      </w:tabs>
      <w:spacing w:before="60" w:after="60"/>
      <w:ind w:left="1361" w:hanging="340"/>
    </w:pPr>
  </w:style>
  <w:style w:type="paragraph" w:styleId="List5">
    <w:name w:val="List 5"/>
    <w:basedOn w:val="BodyText"/>
    <w:rsid w:val="00460A2A"/>
    <w:pPr>
      <w:tabs>
        <w:tab w:val="left" w:pos="1701"/>
      </w:tabs>
      <w:spacing w:before="60" w:after="60"/>
      <w:ind w:left="1701" w:hanging="340"/>
    </w:pPr>
  </w:style>
  <w:style w:type="paragraph" w:styleId="ListBullet4">
    <w:name w:val="List Bullet 4"/>
    <w:basedOn w:val="List4"/>
    <w:rsid w:val="00460A2A"/>
    <w:pPr>
      <w:numPr>
        <w:numId w:val="4"/>
      </w:numPr>
      <w:tabs>
        <w:tab w:val="clear" w:pos="1361"/>
      </w:tabs>
    </w:pPr>
  </w:style>
  <w:style w:type="paragraph" w:styleId="ListBullet5">
    <w:name w:val="List Bullet 5"/>
    <w:basedOn w:val="List5"/>
    <w:rsid w:val="00460A2A"/>
    <w:pPr>
      <w:numPr>
        <w:numId w:val="5"/>
      </w:numPr>
    </w:pPr>
  </w:style>
  <w:style w:type="paragraph" w:styleId="ListContinue2">
    <w:name w:val="List Continue 2"/>
    <w:basedOn w:val="List2"/>
    <w:rsid w:val="00460A2A"/>
    <w:pPr>
      <w:ind w:firstLine="0"/>
    </w:pPr>
  </w:style>
  <w:style w:type="paragraph" w:styleId="ListContinue3">
    <w:name w:val="List Continue 3"/>
    <w:basedOn w:val="List3"/>
    <w:rsid w:val="00460A2A"/>
    <w:pPr>
      <w:ind w:left="1021" w:firstLine="0"/>
    </w:pPr>
  </w:style>
  <w:style w:type="paragraph" w:styleId="ListContinue4">
    <w:name w:val="List Continue 4"/>
    <w:basedOn w:val="List4"/>
    <w:rsid w:val="00460A2A"/>
    <w:pPr>
      <w:ind w:firstLine="0"/>
    </w:pPr>
  </w:style>
  <w:style w:type="paragraph" w:styleId="ListContinue5">
    <w:name w:val="List Continue 5"/>
    <w:basedOn w:val="List5"/>
    <w:rsid w:val="00460A2A"/>
    <w:pPr>
      <w:ind w:firstLine="0"/>
    </w:pPr>
  </w:style>
  <w:style w:type="paragraph" w:styleId="ListNumber3">
    <w:name w:val="List Number 3"/>
    <w:basedOn w:val="List3"/>
    <w:rsid w:val="00460A2A"/>
    <w:pPr>
      <w:numPr>
        <w:numId w:val="6"/>
      </w:numPr>
    </w:pPr>
  </w:style>
  <w:style w:type="paragraph" w:styleId="ListNumber4">
    <w:name w:val="List Number 4"/>
    <w:basedOn w:val="List4"/>
    <w:rsid w:val="00460A2A"/>
    <w:pPr>
      <w:numPr>
        <w:numId w:val="7"/>
      </w:numPr>
    </w:pPr>
  </w:style>
  <w:style w:type="paragraph" w:styleId="ListNumber5">
    <w:name w:val="List Number 5"/>
    <w:basedOn w:val="List5"/>
    <w:rsid w:val="00460A2A"/>
    <w:pPr>
      <w:numPr>
        <w:numId w:val="8"/>
      </w:numPr>
    </w:pPr>
  </w:style>
  <w:style w:type="paragraph" w:styleId="BlockText">
    <w:name w:val="Block Text"/>
    <w:basedOn w:val="Normal"/>
    <w:rsid w:val="00460A2A"/>
    <w:pPr>
      <w:spacing w:after="120"/>
      <w:ind w:left="1440" w:right="1440"/>
    </w:pPr>
  </w:style>
  <w:style w:type="character" w:customStyle="1" w:styleId="Subscript">
    <w:name w:val="Subscript"/>
    <w:basedOn w:val="DefaultParagraphFont"/>
    <w:rsid w:val="00460A2A"/>
    <w:rPr>
      <w:sz w:val="16"/>
      <w:vertAlign w:val="subscript"/>
    </w:rPr>
  </w:style>
  <w:style w:type="character" w:customStyle="1" w:styleId="Superscript">
    <w:name w:val="Superscript"/>
    <w:basedOn w:val="DefaultParagraphFont"/>
    <w:rsid w:val="00460A2A"/>
    <w:rPr>
      <w:sz w:val="16"/>
      <w:vertAlign w:val="superscript"/>
    </w:rPr>
  </w:style>
  <w:style w:type="character" w:customStyle="1" w:styleId="Symbols">
    <w:name w:val="Symbols"/>
    <w:basedOn w:val="DefaultParagraphFont"/>
    <w:rsid w:val="00460A2A"/>
    <w:rPr>
      <w:rFonts w:ascii="Symbol" w:hAnsi="Symbol"/>
    </w:rPr>
  </w:style>
  <w:style w:type="character" w:customStyle="1" w:styleId="MenuOptions">
    <w:name w:val="Menu Options"/>
    <w:basedOn w:val="DefaultParagraphFont"/>
    <w:rsid w:val="00460A2A"/>
    <w:rPr>
      <w:rFonts w:ascii="Arial Narrow" w:hAnsi="Arial Narrow"/>
      <w:smallCaps/>
    </w:rPr>
  </w:style>
  <w:style w:type="character" w:customStyle="1" w:styleId="Buttons">
    <w:name w:val="Buttons"/>
    <w:basedOn w:val="DefaultParagraphFont"/>
    <w:rsid w:val="00460A2A"/>
    <w:rPr>
      <w:b/>
    </w:rPr>
  </w:style>
  <w:style w:type="character" w:customStyle="1" w:styleId="Underlined">
    <w:name w:val="Underlined"/>
    <w:basedOn w:val="DefaultParagraphFont"/>
    <w:rsid w:val="00460A2A"/>
    <w:rPr>
      <w:u w:val="single"/>
    </w:rPr>
  </w:style>
  <w:style w:type="paragraph" w:customStyle="1" w:styleId="TableBodyTextRight">
    <w:name w:val="Table Body Text Right"/>
    <w:basedOn w:val="TableBodyText"/>
    <w:rsid w:val="00460A2A"/>
    <w:pPr>
      <w:widowControl w:val="0"/>
      <w:autoSpaceDE w:val="0"/>
      <w:autoSpaceDN w:val="0"/>
      <w:adjustRightInd w:val="0"/>
      <w:jc w:val="right"/>
    </w:pPr>
    <w:rPr>
      <w:rFonts w:cs="Arial"/>
      <w:szCs w:val="18"/>
    </w:rPr>
  </w:style>
  <w:style w:type="paragraph" w:customStyle="1" w:styleId="CopyrightText">
    <w:name w:val="Copyright Text"/>
    <w:basedOn w:val="BodyText"/>
    <w:rsid w:val="00460A2A"/>
    <w:rPr>
      <w:sz w:val="18"/>
    </w:rPr>
  </w:style>
  <w:style w:type="paragraph" w:customStyle="1" w:styleId="BodySmallRight">
    <w:name w:val="Body Small Right"/>
    <w:basedOn w:val="BodyTextRight"/>
    <w:rsid w:val="00460A2A"/>
    <w:rPr>
      <w:sz w:val="18"/>
      <w:szCs w:val="18"/>
    </w:rPr>
  </w:style>
  <w:style w:type="paragraph" w:customStyle="1" w:styleId="MarginEdition">
    <w:name w:val="Margin Edition"/>
    <w:basedOn w:val="MarginNote"/>
    <w:rsid w:val="00460A2A"/>
    <w:pPr>
      <w:spacing w:before="0" w:after="0"/>
    </w:pPr>
    <w:rPr>
      <w:rFonts w:ascii="Times New Roman" w:hAnsi="Times New Roman"/>
      <w:color w:val="999999"/>
    </w:rPr>
  </w:style>
  <w:style w:type="paragraph" w:customStyle="1" w:styleId="Spacer">
    <w:name w:val="Spacer"/>
    <w:basedOn w:val="Normal"/>
    <w:rsid w:val="00460A2A"/>
    <w:rPr>
      <w:sz w:val="2"/>
      <w:szCs w:val="2"/>
    </w:rPr>
  </w:style>
  <w:style w:type="character" w:customStyle="1" w:styleId="Small">
    <w:name w:val="Small"/>
    <w:basedOn w:val="DefaultParagraphFont"/>
    <w:rsid w:val="00460A2A"/>
    <w:rPr>
      <w:sz w:val="16"/>
    </w:rPr>
  </w:style>
  <w:style w:type="paragraph" w:customStyle="1" w:styleId="WideTable">
    <w:name w:val="Wide Table"/>
    <w:basedOn w:val="Normal"/>
    <w:rsid w:val="00460A2A"/>
    <w:pPr>
      <w:ind w:left="-1418"/>
    </w:pPr>
    <w:rPr>
      <w:sz w:val="2"/>
      <w:szCs w:val="2"/>
    </w:rPr>
  </w:style>
  <w:style w:type="character" w:styleId="PageNumber">
    <w:name w:val="page number"/>
    <w:basedOn w:val="DefaultParagraphFont"/>
    <w:rsid w:val="00460A2A"/>
  </w:style>
  <w:style w:type="paragraph" w:styleId="Quote">
    <w:name w:val="Quote"/>
    <w:basedOn w:val="Heading1"/>
    <w:link w:val="QuoteChar"/>
    <w:qFormat/>
    <w:rsid w:val="00460A2A"/>
    <w:rPr>
      <w:b w:val="0"/>
      <w:sz w:val="72"/>
      <w:szCs w:val="72"/>
      <w:lang w:val="en-NZ"/>
    </w:rPr>
  </w:style>
  <w:style w:type="character" w:customStyle="1" w:styleId="QuoteChar">
    <w:name w:val="Quote Char"/>
    <w:basedOn w:val="DefaultParagraphFont"/>
    <w:link w:val="Quote"/>
    <w:rsid w:val="00460A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0A2A"/>
    <w:pPr>
      <w:pageBreakBefore/>
    </w:pPr>
  </w:style>
  <w:style w:type="paragraph" w:customStyle="1" w:styleId="Border">
    <w:name w:val="Border"/>
    <w:basedOn w:val="Normal"/>
    <w:qFormat/>
    <w:rsid w:val="00460A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0A2A"/>
    <w:rPr>
      <w:b/>
      <w:bCs/>
      <w:i/>
      <w:iCs/>
      <w:color w:val="auto"/>
    </w:rPr>
  </w:style>
  <w:style w:type="paragraph" w:styleId="IntenseQuote">
    <w:name w:val="Intense Quote"/>
    <w:basedOn w:val="Normal"/>
    <w:next w:val="Normal"/>
    <w:link w:val="IntenseQuoteChar"/>
    <w:uiPriority w:val="30"/>
    <w:qFormat/>
    <w:rsid w:val="00460A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0A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0A2A"/>
    <w:rPr>
      <w:smallCaps/>
      <w:color w:val="auto"/>
      <w:u w:val="single"/>
    </w:rPr>
  </w:style>
  <w:style w:type="character" w:styleId="IntenseReference">
    <w:name w:val="Intense Reference"/>
    <w:basedOn w:val="DefaultParagraphFont"/>
    <w:uiPriority w:val="32"/>
    <w:qFormat/>
    <w:rsid w:val="00460A2A"/>
    <w:rPr>
      <w:b/>
      <w:bCs/>
      <w:smallCaps/>
      <w:color w:val="auto"/>
      <w:spacing w:val="5"/>
      <w:u w:val="single"/>
    </w:rPr>
  </w:style>
  <w:style w:type="paragraph" w:customStyle="1" w:styleId="2ColumnHeading">
    <w:name w:val="2Column Heading"/>
    <w:basedOn w:val="BodyText"/>
    <w:qFormat/>
    <w:rsid w:val="00460A2A"/>
    <w:pPr>
      <w:spacing w:after="60"/>
      <w:ind w:left="-2268"/>
    </w:pPr>
    <w:rPr>
      <w:b/>
    </w:rPr>
  </w:style>
  <w:style w:type="paragraph" w:customStyle="1" w:styleId="Heading1TOC">
    <w:name w:val="Heading1 TOC"/>
    <w:basedOn w:val="Normal"/>
    <w:qFormat/>
    <w:rsid w:val="00460A2A"/>
    <w:pPr>
      <w:spacing w:before="240" w:after="120"/>
    </w:pPr>
    <w:rPr>
      <w:rFonts w:ascii="Times New Roman" w:hAnsi="Times New Roman"/>
      <w:b/>
      <w:sz w:val="32"/>
    </w:rPr>
  </w:style>
  <w:style w:type="paragraph" w:customStyle="1" w:styleId="Heading2TOC">
    <w:name w:val="Heading2 TOC"/>
    <w:basedOn w:val="Normal"/>
    <w:qFormat/>
    <w:rsid w:val="00460A2A"/>
    <w:pPr>
      <w:spacing w:before="240" w:after="60"/>
    </w:pPr>
    <w:rPr>
      <w:rFonts w:ascii="Times New Roman" w:hAnsi="Times New Roman"/>
      <w:b/>
      <w:sz w:val="28"/>
    </w:rPr>
  </w:style>
  <w:style w:type="character" w:customStyle="1" w:styleId="Underline">
    <w:name w:val="Underline"/>
    <w:basedOn w:val="DefaultParagraphFont"/>
    <w:qFormat/>
    <w:rsid w:val="00460A2A"/>
    <w:rPr>
      <w:u w:val="single"/>
    </w:rPr>
  </w:style>
  <w:style w:type="character" w:customStyle="1" w:styleId="BoldandItalics">
    <w:name w:val="Bold and Italics"/>
    <w:qFormat/>
    <w:rsid w:val="00460A2A"/>
    <w:rPr>
      <w:b/>
      <w:i/>
      <w:u w:val="none"/>
    </w:rPr>
  </w:style>
  <w:style w:type="paragraph" w:styleId="BalloonText">
    <w:name w:val="Balloon Text"/>
    <w:basedOn w:val="Normal"/>
    <w:link w:val="BalloonTextChar"/>
    <w:rsid w:val="00460A2A"/>
    <w:rPr>
      <w:rFonts w:ascii="Tahoma" w:hAnsi="Tahoma" w:cs="Tahoma"/>
      <w:sz w:val="16"/>
      <w:szCs w:val="16"/>
    </w:rPr>
  </w:style>
  <w:style w:type="character" w:customStyle="1" w:styleId="BalloonTextChar">
    <w:name w:val="Balloon Text Char"/>
    <w:basedOn w:val="DefaultParagraphFont"/>
    <w:link w:val="BalloonText"/>
    <w:rsid w:val="00460A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0A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0A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0A2A"/>
    <w:rPr>
      <w:b/>
      <w:color w:val="660033"/>
      <w:spacing w:val="0"/>
    </w:rPr>
  </w:style>
  <w:style w:type="paragraph" w:customStyle="1" w:styleId="Nameditemlist">
    <w:name w:val="Named item list"/>
    <w:basedOn w:val="BodyText"/>
    <w:qFormat/>
    <w:rsid w:val="00460A2A"/>
    <w:pPr>
      <w:tabs>
        <w:tab w:val="left" w:pos="2835"/>
      </w:tabs>
      <w:ind w:left="2835" w:hanging="2835"/>
    </w:pPr>
  </w:style>
  <w:style w:type="paragraph" w:customStyle="1" w:styleId="BodyTextnopadding">
    <w:name w:val="Body Text no padding"/>
    <w:basedOn w:val="BodyText"/>
    <w:qFormat/>
    <w:rsid w:val="00460A2A"/>
    <w:pPr>
      <w:spacing w:before="0" w:after="0"/>
    </w:pPr>
  </w:style>
  <w:style w:type="paragraph" w:customStyle="1" w:styleId="BodyTextBold">
    <w:name w:val="Body Text Bold"/>
    <w:basedOn w:val="BodyText"/>
    <w:qFormat/>
    <w:rsid w:val="00460A2A"/>
    <w:rPr>
      <w:b/>
    </w:rPr>
  </w:style>
  <w:style w:type="character" w:styleId="Hyperlink">
    <w:name w:val="Hyperlink"/>
    <w:basedOn w:val="DefaultParagraphFont"/>
    <w:uiPriority w:val="99"/>
    <w:unhideWhenUsed/>
    <w:rsid w:val="002B3A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1035</Words>
  <Characters>6627</Characters>
  <Application>Microsoft Office Word</Application>
  <DocSecurity>0</DocSecurity>
  <Lines>189</Lines>
  <Paragraphs>119</Paragraphs>
  <ScaleCrop>false</ScaleCrop>
  <Company>Author-it Software Corporation Ltd.</Company>
  <LinksUpToDate>false</LinksUpToDate>
  <CharactersWithSpaces>7543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RIIPRE203D Prepare for sintering activities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2025-03-02T03:23:00Z</dcterms:created>
  <dcterms:modified xsi:type="dcterms:W3CDTF">2025-03-02T03:23:00Z</dcterms:modified>
</cp:coreProperties>
</file>