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571" w:rsidP="00BC7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RIIPRE202D Prepare and carry out electrolytic cleaning process</w:t>
      </w:r>
      <w:r>
        <w:fldChar w:fldCharType="end"/>
      </w:r>
    </w:p>
    <w:p w:rsidR="00BC7571" w:rsidP="00BC7571">
      <w:pPr>
        <w:pStyle w:val="Version"/>
        <w:sectPr w:rsidSect="002E7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7759" w:rsidP="002E7759">
      <w:pPr>
        <w:pStyle w:val="SuperHeading"/>
      </w:pPr>
      <w:r w:rsidRPr="002E7759">
        <w:t>Assessment Requirements for RIIPRE202D Prepare and carry out electrolytic cleaning process</w:t>
      </w:r>
    </w:p>
    <w:p w:rsidR="00000000" w:rsidRPr="002E7759" w:rsidP="002E7759">
      <w:pPr>
        <w:pStyle w:val="Heading1"/>
      </w:pPr>
      <w:bookmarkStart w:id="1" w:name="O_687684"/>
      <w:bookmarkEnd w:id="1"/>
      <w:r w:rsidRPr="002E775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C75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59">
            <w:pPr>
              <w:pStyle w:val="Heading4"/>
              <w:rPr>
                <w:lang w:val="en-NZ"/>
              </w:rPr>
            </w:pPr>
            <w:r w:rsidRPr="002E775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59">
            <w:pPr>
              <w:pStyle w:val="Heading4"/>
              <w:rPr>
                <w:lang w:val="en-NZ"/>
              </w:rPr>
            </w:pPr>
            <w:r w:rsidRPr="002E7759">
              <w:t>Comment</w:t>
            </w:r>
          </w:p>
        </w:tc>
      </w:tr>
      <w:tr w:rsidTr="00BC7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This unit replaces RIIPRE202A Prepare and carry out electrolytic cleaning process</w:t>
            </w:r>
          </w:p>
        </w:tc>
      </w:tr>
      <w:tr w:rsidTr="00BC7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59" w:rsidP="002E7759">
            <w:pPr>
              <w:pStyle w:val="BodyText"/>
            </w:pPr>
            <w:r w:rsidRPr="002E7759">
              <w:t>Required frequency and volume of evidence amended in Performance evidence.</w:t>
            </w:r>
          </w:p>
          <w:p w:rsidR="00000000" w:rsidRPr="002E7759" w:rsidP="002E7759">
            <w:pPr>
              <w:pStyle w:val="BodyText"/>
            </w:pPr>
            <w:r w:rsidRPr="002E7759">
              <w:t>Substantial amendments made in Assessment Conditions field, including: references to Industry Sectors, assessor and subject matter expert experience requirements, how assessment sho</w:t>
            </w:r>
            <w:r w:rsidRPr="002E7759">
              <w:t>uld be conducted and what it should confirm.</w:t>
            </w:r>
          </w:p>
        </w:tc>
      </w:tr>
    </w:tbl>
    <w:p w:rsidR="00000000" w:rsidRPr="002E7759" w:rsidP="002E7759">
      <w:pPr>
        <w:pStyle w:val="BodyText"/>
      </w:pPr>
    </w:p>
    <w:p w:rsidR="00000000" w:rsidRPr="002E7759" w:rsidP="002E7759">
      <w:pPr>
        <w:pStyle w:val="AllowPageBreak"/>
      </w:pPr>
    </w:p>
    <w:p w:rsidR="00000000" w:rsidRPr="002E7759" w:rsidP="002E7759">
      <w:pPr>
        <w:pStyle w:val="Heading1"/>
      </w:pPr>
      <w:bookmarkStart w:id="2" w:name="O_687683"/>
      <w:bookmarkEnd w:id="2"/>
      <w:r w:rsidRPr="002E7759">
        <w:t>Performance Evidence</w:t>
      </w:r>
    </w:p>
    <w:p w:rsidR="00000000" w:rsidRPr="002E7759" w:rsidP="00BC7571">
      <w:pPr>
        <w:pStyle w:val="BodyText"/>
      </w:pPr>
      <w:r w:rsidRPr="002E7759">
        <w:t>Evidence is required to be collected that demonstrates a candidate’s competency in this unit. Evidence must be relevant to the roles within this sector’</w:t>
      </w:r>
      <w:r w:rsidRPr="002E7759">
        <w:t>s work operations and satisfy all of the requirements of the performance criteria of this unit and include evidence that the candidate:</w:t>
      </w:r>
    </w:p>
    <w:p w:rsidR="00000000" w:rsidRPr="002E7759" w:rsidP="002E7759">
      <w:pPr>
        <w:pStyle w:val="ListBullet2"/>
      </w:pPr>
      <w:r w:rsidRPr="002E7759">
        <w:t>locates and applies relevant documentation, policies and procedures</w:t>
      </w:r>
    </w:p>
    <w:p w:rsidR="00000000" w:rsidRPr="002E7759" w:rsidP="002E7759">
      <w:pPr>
        <w:pStyle w:val="ListBullet2"/>
      </w:pPr>
      <w:r w:rsidRPr="002E7759">
        <w:t>implements the requirements, procedures and techniq</w:t>
      </w:r>
      <w:r w:rsidRPr="002E7759">
        <w:t>ues for the safe, effective and efficient completion of electrolytic cleaning processes including:</w:t>
      </w:r>
    </w:p>
    <w:p w:rsidR="00000000" w:rsidRPr="002E7759" w:rsidP="002E7759">
      <w:pPr>
        <w:pStyle w:val="ListBullet3"/>
      </w:pPr>
      <w:r w:rsidRPr="002E7759">
        <w:t>identifying and managing hazards affecting the cleaning process</w:t>
      </w:r>
    </w:p>
    <w:p w:rsidR="00000000" w:rsidRPr="002E7759" w:rsidP="002E7759">
      <w:pPr>
        <w:pStyle w:val="ListBullet3"/>
      </w:pPr>
      <w:r w:rsidRPr="002E7759">
        <w:t>handling hazardous substances correctly</w:t>
      </w:r>
    </w:p>
    <w:p w:rsidR="00000000" w:rsidRPr="002E7759" w:rsidP="002E7759">
      <w:pPr>
        <w:pStyle w:val="ListBullet"/>
      </w:pPr>
      <w:r w:rsidRPr="002E7759">
        <w:t>demonstrates completion of electrolytic cleaning pr</w:t>
      </w:r>
      <w:r w:rsidRPr="002E7759">
        <w:t>ocesses that safely, effectively and efficiently meets all of the required outcomes on more than one (1) occasion including:</w:t>
      </w:r>
    </w:p>
    <w:p w:rsidR="00000000" w:rsidRPr="002E7759" w:rsidP="002E7759">
      <w:pPr>
        <w:pStyle w:val="ListBullet3"/>
      </w:pPr>
      <w:r w:rsidRPr="002E7759">
        <w:t>performing start up in sequence on equipment to meet job requirements</w:t>
      </w:r>
    </w:p>
    <w:p w:rsidR="00000000" w:rsidRPr="002E7759" w:rsidP="002E7759">
      <w:pPr>
        <w:pStyle w:val="ListBullet3"/>
      </w:pPr>
      <w:r w:rsidRPr="002E7759">
        <w:t>preparing cleaning solutions to meet job requirements</w:t>
      </w:r>
    </w:p>
    <w:p w:rsidR="00000000" w:rsidRPr="002E7759" w:rsidP="002E7759">
      <w:pPr>
        <w:pStyle w:val="ListBullet3"/>
      </w:pPr>
      <w:r w:rsidRPr="002E7759">
        <w:t>operating equipment to meet job requirements</w:t>
      </w:r>
    </w:p>
    <w:p w:rsidR="00000000" w:rsidRPr="002E7759" w:rsidP="002E7759">
      <w:pPr>
        <w:pStyle w:val="ListBullet3"/>
      </w:pPr>
      <w:r w:rsidRPr="002E7759">
        <w:t>reading equipment indicators</w:t>
      </w:r>
    </w:p>
    <w:p w:rsidR="00000000" w:rsidRPr="002E7759" w:rsidP="002E7759">
      <w:pPr>
        <w:pStyle w:val="ListBullet3"/>
      </w:pPr>
      <w:r w:rsidRPr="002E7759">
        <w:t>adjusting equipment to maintain optimum output</w:t>
      </w:r>
    </w:p>
    <w:p w:rsidR="00000000" w:rsidRPr="002E7759" w:rsidP="002E7759">
      <w:pPr>
        <w:pStyle w:val="ListBullet3"/>
      </w:pPr>
      <w:r w:rsidRPr="002E7759">
        <w:t>shutting down and/or isolating equipment in sequence</w:t>
      </w:r>
    </w:p>
    <w:p w:rsidR="00000000" w:rsidRPr="002E7759" w:rsidP="002E7759">
      <w:pPr>
        <w:pStyle w:val="ListBullet3"/>
      </w:pPr>
      <w:r w:rsidRPr="002E7759">
        <w:t>performing routine checks</w:t>
      </w:r>
    </w:p>
    <w:p w:rsidR="00000000" w:rsidRPr="002E7759" w:rsidP="002E7759">
      <w:pPr>
        <w:pStyle w:val="AllowPageBreak"/>
      </w:pPr>
    </w:p>
    <w:p w:rsidR="00000000" w:rsidRPr="002E7759" w:rsidP="002E7759">
      <w:pPr>
        <w:pStyle w:val="Heading1"/>
      </w:pPr>
      <w:bookmarkStart w:id="3" w:name="O_687681"/>
      <w:bookmarkEnd w:id="3"/>
      <w:r w:rsidRPr="002E7759">
        <w:t>Knowledge Evidence</w:t>
      </w:r>
    </w:p>
    <w:p w:rsidR="00000000" w:rsidRPr="002E7759" w:rsidP="00BC7571">
      <w:pPr>
        <w:pStyle w:val="BodyText"/>
      </w:pPr>
      <w:r w:rsidRPr="002E7759">
        <w:t>The candidate must d</w:t>
      </w:r>
      <w:r w:rsidRPr="002E7759">
        <w:t>emonstrate knowledge of preparing and carrying out electrolytic cleaning process through:</w:t>
      </w:r>
    </w:p>
    <w:p w:rsidR="00000000" w:rsidRPr="002E7759" w:rsidP="002E7759">
      <w:pPr>
        <w:pStyle w:val="ListBullet2"/>
      </w:pPr>
      <w:r w:rsidRPr="002E7759">
        <w:t>identifying relevant procedures used for electrolytic cleaning</w:t>
      </w:r>
    </w:p>
    <w:p w:rsidR="00000000" w:rsidRPr="002E7759" w:rsidP="002E7759">
      <w:pPr>
        <w:pStyle w:val="ListBullet2"/>
      </w:pPr>
      <w:r w:rsidRPr="002E7759">
        <w:t>identifying chemicals</w:t>
      </w:r>
    </w:p>
    <w:p w:rsidR="00000000" w:rsidRPr="002E7759" w:rsidP="002E7759">
      <w:pPr>
        <w:pStyle w:val="ListBullet2"/>
      </w:pPr>
      <w:r w:rsidRPr="002E7759">
        <w:t xml:space="preserve">identifying equipment operating parameters and safety requirements </w:t>
      </w:r>
    </w:p>
    <w:p w:rsidR="00000000" w:rsidRPr="002E7759" w:rsidP="002E7759">
      <w:pPr>
        <w:pStyle w:val="ListBullet2"/>
      </w:pPr>
      <w:r w:rsidRPr="002E7759">
        <w:t>identifying monitoring systems</w:t>
      </w:r>
    </w:p>
    <w:p w:rsidR="00000000" w:rsidRPr="002E7759" w:rsidP="002E7759">
      <w:pPr>
        <w:pStyle w:val="ListBullet2"/>
      </w:pPr>
      <w:r w:rsidRPr="002E7759">
        <w:t>identifying relevant hazardous substance procedures and consequences of spills</w:t>
      </w:r>
    </w:p>
    <w:p w:rsidR="00000000" w:rsidRPr="002E7759" w:rsidP="002E7759">
      <w:pPr>
        <w:pStyle w:val="ListBullet2"/>
      </w:pPr>
      <w:r w:rsidRPr="002E7759">
        <w:t>isolation procedures</w:t>
      </w:r>
    </w:p>
    <w:p w:rsidR="00000000" w:rsidRPr="002E7759" w:rsidP="002E7759">
      <w:pPr>
        <w:pStyle w:val="AllowPageBreak"/>
      </w:pPr>
    </w:p>
    <w:p w:rsidR="00000000" w:rsidRPr="002E7759" w:rsidP="002E7759">
      <w:pPr>
        <w:pStyle w:val="Heading1"/>
      </w:pPr>
      <w:bookmarkStart w:id="4" w:name="O_687680"/>
      <w:bookmarkEnd w:id="4"/>
      <w:r w:rsidRPr="002E7759">
        <w:t>Assessment Conditions</w:t>
      </w:r>
    </w:p>
    <w:p w:rsidR="00000000" w:rsidRPr="002E7759" w:rsidP="002E7759">
      <w:pPr>
        <w:pStyle w:val="ListBullet2"/>
      </w:pPr>
      <w:r w:rsidRPr="002E7759">
        <w:t>An assessor of this unit must satisfy the requirements of the NVR/AQTF or their succe</w:t>
      </w:r>
      <w:r w:rsidRPr="002E7759">
        <w:t xml:space="preserve">ssors; and Industry regulations for certification and licensing; and, </w:t>
      </w:r>
    </w:p>
    <w:p w:rsidR="00000000" w:rsidRPr="002E7759" w:rsidP="002E7759">
      <w:pPr>
        <w:pStyle w:val="ListBullet2"/>
      </w:pPr>
      <w:r w:rsidRPr="002E7759">
        <w:t>this unit must be assessed in the context of this sector’s work environment; and,</w:t>
      </w:r>
    </w:p>
    <w:p w:rsidR="00000000" w:rsidRPr="002E7759" w:rsidP="002E7759">
      <w:pPr>
        <w:pStyle w:val="ListBullet"/>
      </w:pPr>
      <w:r w:rsidRPr="002E7759">
        <w:t>this unit must be assessed in compliance with relevant legislation/regulation and using policies, proc</w:t>
      </w:r>
      <w:r w:rsidRPr="002E7759">
        <w:t>edures, processes and operational manuals directly related to the industry sector for which it is being assessed; and,</w:t>
      </w:r>
    </w:p>
    <w:p w:rsidR="00000000" w:rsidRPr="002E7759" w:rsidP="002E7759">
      <w:pPr>
        <w:pStyle w:val="ListBullet"/>
      </w:pPr>
      <w:r w:rsidRPr="002E7759">
        <w:t>assessment may be conducted in conjunction with the assessment of other Units of Competency; and,</w:t>
      </w:r>
    </w:p>
    <w:p w:rsidR="00000000" w:rsidRPr="002E7759" w:rsidP="002E7759">
      <w:pPr>
        <w:pStyle w:val="ListBullet"/>
      </w:pPr>
      <w:r w:rsidRPr="002E7759">
        <w:t>assessment must confirm consistent perf</w:t>
      </w:r>
      <w:r w:rsidRPr="002E7759">
        <w:t>ormance can be applied in a range of relevant workplace circumstances; and,</w:t>
      </w:r>
    </w:p>
    <w:p w:rsidR="00000000" w:rsidRPr="002E7759" w:rsidP="002E7759">
      <w:pPr>
        <w:pStyle w:val="ListBullet"/>
      </w:pPr>
      <w:r w:rsidRPr="002E7759">
        <w:t>assessors must demonstrate the performance evidence, and knowledge evidence as outlined in this Unit of Competency, and through the minimum years of current* work experience specif</w:t>
      </w:r>
      <w:r w:rsidRPr="002E7759">
        <w:t>ied below in an Industry sector relevant to the outcomes of the unit; or,</w:t>
      </w:r>
    </w:p>
    <w:p w:rsidR="00000000" w:rsidRPr="002E7759" w:rsidP="002E7759">
      <w:pPr>
        <w:pStyle w:val="ListBullet"/>
      </w:pPr>
      <w:r w:rsidRPr="002E7759">
        <w:t>where the assessor does not meet experience requirements a co-assessment or partnership arrangement must exist between the qualified assessor and an Industry subject matter expert. T</w:t>
      </w:r>
      <w:r w:rsidRPr="002E7759">
        <w:t>he Industry subject matter expert should hold the unit being assessed (or an equivalent unit) and/or demonstrate equivalence of skills and knowledge at the unit level. An Industry technical expert must also demonstrate skills and knowledge from the minimum</w:t>
      </w:r>
      <w:r w:rsidRPr="002E7759">
        <w:t xml:space="preserve"> years of current work experience specified below in the Industry sector, including time spent in roles related to the unit being assessed; and,</w:t>
      </w:r>
    </w:p>
    <w:p w:rsidR="00000000" w:rsidRPr="002E7759" w:rsidP="002E7759">
      <w:pPr>
        <w:pStyle w:val="ListBullet"/>
      </w:pPr>
      <w:r w:rsidRPr="002E7759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E77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SubHeading1"/>
              <w:rPr>
                <w:lang w:val="en-NZ"/>
              </w:rPr>
            </w:pPr>
            <w:r w:rsidRPr="002E775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SubHeading1"/>
              <w:rPr>
                <w:lang w:val="en-NZ"/>
              </w:rPr>
            </w:pPr>
            <w:r w:rsidRPr="002E775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SubHeading1"/>
              <w:rPr>
                <w:lang w:val="en-NZ"/>
              </w:rPr>
            </w:pPr>
            <w:r w:rsidRPr="002E7759">
              <w:t>Required assessor or Industr</w:t>
            </w:r>
            <w:r w:rsidRPr="002E7759">
              <w:t>y subject matter expert experience</w:t>
            </w:r>
          </w:p>
        </w:tc>
      </w:tr>
      <w:tr w:rsidTr="002E77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1 Year</w:t>
            </w:r>
          </w:p>
        </w:tc>
      </w:tr>
      <w:tr w:rsidTr="002E77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2 Years</w:t>
            </w:r>
          </w:p>
        </w:tc>
      </w:tr>
      <w:tr w:rsidTr="002E77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3 Years</w:t>
            </w:r>
          </w:p>
        </w:tc>
      </w:tr>
      <w:tr w:rsidTr="002E77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5 Years</w:t>
            </w:r>
          </w:p>
        </w:tc>
      </w:tr>
      <w:tr w:rsidTr="002E77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759">
            <w:pPr>
              <w:pStyle w:val="BodyText"/>
              <w:rPr>
                <w:lang w:val="en-NZ"/>
              </w:rPr>
            </w:pPr>
            <w:r w:rsidRPr="002E775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7759" w:rsidP="002E7759">
            <w:pPr>
              <w:pStyle w:val="BodyText"/>
            </w:pPr>
            <w:r w:rsidRPr="002E7759">
              <w:t xml:space="preserve">Where this Unit is being assessed outside of the Resources and Infrastructure Sectors assessor and/or Industry subject matter expert experience </w:t>
            </w:r>
            <w:r w:rsidRPr="002E7759">
              <w:t>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2E7759" w:rsidP="00BC7571">
      <w:pPr>
        <w:pStyle w:val="BodyText"/>
      </w:pPr>
      <w:r w:rsidRPr="002E7759">
        <w:t>*Assessors can demonstrate current work experience through employment within In</w:t>
      </w:r>
      <w:r w:rsidRPr="002E7759">
        <w:t>dustry in a role relevant to the outcomes of the Unit; or, for external assessors this can be demonstrated through exposure to Industry by conducting frequent site assessments across various locations.</w:t>
      </w:r>
    </w:p>
    <w:p w:rsidR="00BC7571" w:rsidP="00BC7571">
      <w:pPr>
        <w:pStyle w:val="BodyText"/>
      </w:pPr>
      <w:r w:rsidRPr="002E7759">
        <w:t>**Where a unit is being delivered outside of a Qualifi</w:t>
      </w:r>
      <w:r w:rsidRPr="002E7759">
        <w:t>cation the first numeric character in the Unit code should be considered to indicate the AQF level</w:t>
      </w:r>
    </w:p>
    <w:p w:rsidR="00000000" w:rsidRPr="002E7759" w:rsidP="002E7759">
      <w:pPr>
        <w:pStyle w:val="Heading1"/>
      </w:pPr>
      <w:bookmarkStart w:id="5" w:name="O_687704"/>
      <w:bookmarkEnd w:id="5"/>
      <w:r w:rsidRPr="002E7759">
        <w:t>Links</w:t>
      </w:r>
    </w:p>
    <w:p w:rsidR="00000000" w:rsidRPr="002E7759" w:rsidP="00BC7571">
      <w:pPr>
        <w:pStyle w:val="BodyText"/>
      </w:pPr>
      <w:r w:rsidRPr="002E7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81D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7759" w:rsidP="002E7759"/>
    <w:sectPr w:rsidSect="002E77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59" w:rsidRPr="00BC7571" w:rsidP="00BC7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71" w:rsidP="002E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571" w:rsidP="002E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7571" w:rsidP="002E7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759" w:rsidRPr="00BC7571" w:rsidP="00BC7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71" w:rsidRPr="002D2AF8" w:rsidP="002E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RIIPRE202D Prepare and carry out electrolytic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C7571" w:rsidP="002E7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020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EA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E0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759"/>
  </w:style>
  <w:style w:type="character" w:customStyle="1" w:styleId="Heading1Char">
    <w:name w:val="Heading 1 Char"/>
    <w:basedOn w:val="DefaultParagraphFont"/>
    <w:link w:val="Heading1"/>
    <w:rsid w:val="002E7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75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7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75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77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E7759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2E77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7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759"/>
    <w:rPr>
      <w:b/>
      <w:spacing w:val="0"/>
    </w:rPr>
  </w:style>
  <w:style w:type="paragraph" w:customStyle="1" w:styleId="SuperTitle">
    <w:name w:val="SuperTitle"/>
    <w:basedOn w:val="Title"/>
    <w:rsid w:val="002E7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759"/>
    <w:rPr>
      <w:i/>
    </w:rPr>
  </w:style>
  <w:style w:type="paragraph" w:styleId="Caption">
    <w:name w:val="caption"/>
    <w:basedOn w:val="BodyText"/>
    <w:next w:val="Normal"/>
    <w:qFormat/>
    <w:rsid w:val="002E7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759"/>
  </w:style>
  <w:style w:type="paragraph" w:styleId="TableofFigures">
    <w:name w:val="table of figures"/>
    <w:basedOn w:val="Normal"/>
    <w:next w:val="Normal"/>
    <w:semiHidden/>
    <w:rsid w:val="002E7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7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7759"/>
    <w:rPr>
      <w:rFonts w:ascii="Wingdings" w:hAnsi="Wingdings"/>
    </w:rPr>
  </w:style>
  <w:style w:type="paragraph" w:customStyle="1" w:styleId="TableHeading">
    <w:name w:val="Table Heading"/>
    <w:basedOn w:val="HeadingBase"/>
    <w:rsid w:val="002E7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759"/>
    <w:rPr>
      <w:color w:val="0033CC"/>
      <w:u w:val="none"/>
    </w:rPr>
  </w:style>
  <w:style w:type="paragraph" w:customStyle="1" w:styleId="BodyTextRight">
    <w:name w:val="Body Text Right"/>
    <w:basedOn w:val="BodyText"/>
    <w:rsid w:val="002E7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7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759"/>
    <w:rPr>
      <w:sz w:val="32"/>
    </w:rPr>
  </w:style>
  <w:style w:type="paragraph" w:customStyle="1" w:styleId="HeadingProcedure">
    <w:name w:val="Heading Procedure"/>
    <w:basedOn w:val="HeadingBase"/>
    <w:next w:val="Normal"/>
    <w:rsid w:val="002E7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759"/>
    <w:pPr>
      <w:spacing w:before="60" w:after="60"/>
    </w:pPr>
  </w:style>
  <w:style w:type="paragraph" w:styleId="ListContinue">
    <w:name w:val="List Continue"/>
    <w:basedOn w:val="List"/>
    <w:rsid w:val="002E7759"/>
    <w:pPr>
      <w:ind w:firstLine="0"/>
    </w:pPr>
  </w:style>
  <w:style w:type="paragraph" w:customStyle="1" w:styleId="ListNote">
    <w:name w:val="List Note"/>
    <w:basedOn w:val="List"/>
    <w:rsid w:val="002E7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759"/>
    <w:rPr>
      <w:rFonts w:ascii="Courier New" w:hAnsi="Courier New"/>
    </w:rPr>
  </w:style>
  <w:style w:type="paragraph" w:customStyle="1" w:styleId="NoteBullet">
    <w:name w:val="Note Bullet"/>
    <w:basedOn w:val="Note"/>
    <w:rsid w:val="002E7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75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E7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7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759"/>
    <w:rPr>
      <w:b/>
      <w:smallCaps/>
    </w:rPr>
  </w:style>
  <w:style w:type="paragraph" w:customStyle="1" w:styleId="TableListNumber">
    <w:name w:val="Table List Number"/>
    <w:basedOn w:val="ListNumber"/>
    <w:rsid w:val="002E7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759"/>
    <w:pPr>
      <w:numPr>
        <w:numId w:val="10"/>
      </w:numPr>
    </w:pPr>
  </w:style>
  <w:style w:type="paragraph" w:customStyle="1" w:styleId="ListAlpha2">
    <w:name w:val="List Alpha 2"/>
    <w:basedOn w:val="List2"/>
    <w:rsid w:val="002E7759"/>
    <w:pPr>
      <w:numPr>
        <w:numId w:val="9"/>
      </w:numPr>
    </w:pPr>
  </w:style>
  <w:style w:type="paragraph" w:styleId="List2">
    <w:name w:val="List 2"/>
    <w:basedOn w:val="BodyText"/>
    <w:rsid w:val="002E7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7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77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7759"/>
    <w:pPr>
      <w:numPr>
        <w:numId w:val="5"/>
      </w:numPr>
    </w:pPr>
  </w:style>
  <w:style w:type="paragraph" w:styleId="ListContinue2">
    <w:name w:val="List Continue 2"/>
    <w:basedOn w:val="List2"/>
    <w:rsid w:val="002E7759"/>
    <w:pPr>
      <w:ind w:firstLine="0"/>
    </w:pPr>
  </w:style>
  <w:style w:type="paragraph" w:styleId="ListContinue3">
    <w:name w:val="List Continue 3"/>
    <w:basedOn w:val="List3"/>
    <w:rsid w:val="002E7759"/>
    <w:pPr>
      <w:ind w:left="1021" w:firstLine="0"/>
    </w:pPr>
  </w:style>
  <w:style w:type="paragraph" w:styleId="ListContinue4">
    <w:name w:val="List Continue 4"/>
    <w:basedOn w:val="List4"/>
    <w:rsid w:val="002E7759"/>
    <w:pPr>
      <w:ind w:firstLine="0"/>
    </w:pPr>
  </w:style>
  <w:style w:type="paragraph" w:styleId="ListContinue5">
    <w:name w:val="List Continue 5"/>
    <w:basedOn w:val="List5"/>
    <w:rsid w:val="002E7759"/>
    <w:pPr>
      <w:ind w:firstLine="0"/>
    </w:pPr>
  </w:style>
  <w:style w:type="paragraph" w:styleId="ListNumber3">
    <w:name w:val="List Number 3"/>
    <w:basedOn w:val="List3"/>
    <w:rsid w:val="002E7759"/>
    <w:pPr>
      <w:numPr>
        <w:numId w:val="6"/>
      </w:numPr>
    </w:pPr>
  </w:style>
  <w:style w:type="paragraph" w:styleId="ListNumber4">
    <w:name w:val="List Number 4"/>
    <w:basedOn w:val="List4"/>
    <w:rsid w:val="002E7759"/>
    <w:pPr>
      <w:numPr>
        <w:numId w:val="7"/>
      </w:numPr>
    </w:pPr>
  </w:style>
  <w:style w:type="paragraph" w:styleId="ListNumber5">
    <w:name w:val="List Number 5"/>
    <w:basedOn w:val="List5"/>
    <w:rsid w:val="002E7759"/>
    <w:pPr>
      <w:numPr>
        <w:numId w:val="8"/>
      </w:numPr>
    </w:pPr>
  </w:style>
  <w:style w:type="paragraph" w:styleId="BlockText">
    <w:name w:val="Block Text"/>
    <w:basedOn w:val="Normal"/>
    <w:rsid w:val="002E7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759"/>
    <w:rPr>
      <w:sz w:val="16"/>
      <w:vertAlign w:val="superscript"/>
    </w:rPr>
  </w:style>
  <w:style w:type="character" w:customStyle="1" w:styleId="Symbols">
    <w:name w:val="Symbols"/>
    <w:basedOn w:val="DefaultParagraphFont"/>
    <w:rsid w:val="002E7759"/>
    <w:rPr>
      <w:rFonts w:ascii="Symbol" w:hAnsi="Symbol"/>
    </w:rPr>
  </w:style>
  <w:style w:type="character" w:customStyle="1" w:styleId="MenuOptions">
    <w:name w:val="Menu Options"/>
    <w:basedOn w:val="DefaultParagraphFont"/>
    <w:rsid w:val="002E7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759"/>
    <w:rPr>
      <w:b/>
    </w:rPr>
  </w:style>
  <w:style w:type="character" w:customStyle="1" w:styleId="Underlined">
    <w:name w:val="Underlined"/>
    <w:basedOn w:val="DefaultParagraphFont"/>
    <w:rsid w:val="002E7759"/>
    <w:rPr>
      <w:u w:val="single"/>
    </w:rPr>
  </w:style>
  <w:style w:type="paragraph" w:customStyle="1" w:styleId="TableBodyTextRight">
    <w:name w:val="Table Body Text Right"/>
    <w:basedOn w:val="TableBodyText"/>
    <w:rsid w:val="002E7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759"/>
    <w:rPr>
      <w:sz w:val="18"/>
    </w:rPr>
  </w:style>
  <w:style w:type="paragraph" w:customStyle="1" w:styleId="BodySmallRight">
    <w:name w:val="Body Small Right"/>
    <w:basedOn w:val="BodyTextRight"/>
    <w:rsid w:val="002E7759"/>
    <w:rPr>
      <w:sz w:val="18"/>
      <w:szCs w:val="18"/>
    </w:rPr>
  </w:style>
  <w:style w:type="paragraph" w:customStyle="1" w:styleId="MarginEdition">
    <w:name w:val="Margin Edition"/>
    <w:basedOn w:val="MarginNote"/>
    <w:rsid w:val="002E7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759"/>
    <w:rPr>
      <w:sz w:val="2"/>
      <w:szCs w:val="2"/>
    </w:rPr>
  </w:style>
  <w:style w:type="character" w:customStyle="1" w:styleId="Small">
    <w:name w:val="Small"/>
    <w:basedOn w:val="DefaultParagraphFont"/>
    <w:rsid w:val="002E7759"/>
    <w:rPr>
      <w:sz w:val="16"/>
    </w:rPr>
  </w:style>
  <w:style w:type="paragraph" w:customStyle="1" w:styleId="WideTable">
    <w:name w:val="Wide Table"/>
    <w:basedOn w:val="Normal"/>
    <w:rsid w:val="002E7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759"/>
  </w:style>
  <w:style w:type="paragraph" w:styleId="Quote">
    <w:name w:val="Quote"/>
    <w:basedOn w:val="Heading1"/>
    <w:link w:val="QuoteChar"/>
    <w:qFormat/>
    <w:rsid w:val="002E7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759"/>
    <w:pPr>
      <w:pageBreakBefore/>
    </w:pPr>
  </w:style>
  <w:style w:type="paragraph" w:customStyle="1" w:styleId="Border">
    <w:name w:val="Border"/>
    <w:basedOn w:val="Normal"/>
    <w:qFormat/>
    <w:rsid w:val="002E7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759"/>
    <w:rPr>
      <w:u w:val="single"/>
    </w:rPr>
  </w:style>
  <w:style w:type="character" w:customStyle="1" w:styleId="BoldandItalics">
    <w:name w:val="Bold and Italics"/>
    <w:qFormat/>
    <w:rsid w:val="002E7759"/>
    <w:rPr>
      <w:b/>
      <w:i/>
      <w:u w:val="none"/>
    </w:rPr>
  </w:style>
  <w:style w:type="paragraph" w:styleId="BalloonText">
    <w:name w:val="Balloon Text"/>
    <w:basedOn w:val="Normal"/>
    <w:link w:val="BalloonTextChar"/>
    <w:rsid w:val="002E7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759"/>
    <w:pPr>
      <w:spacing w:before="0" w:after="0"/>
    </w:pPr>
  </w:style>
  <w:style w:type="paragraph" w:customStyle="1" w:styleId="BodyTextBold">
    <w:name w:val="Body Text Bold"/>
    <w:basedOn w:val="BodyText"/>
    <w:qFormat/>
    <w:rsid w:val="002E7759"/>
    <w:rPr>
      <w:b/>
    </w:rPr>
  </w:style>
  <w:style w:type="character" w:styleId="Hyperlink">
    <w:name w:val="Hyperlink"/>
    <w:basedOn w:val="DefaultParagraphFont"/>
    <w:uiPriority w:val="99"/>
    <w:unhideWhenUsed/>
    <w:rsid w:val="00BC7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4590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RIIPRE202D Prepare and carry out electrolytic cleaning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2021-01-25T11:02:00Z</dcterms:created>
  <dcterms:modified xsi:type="dcterms:W3CDTF">2021-01-25T11:02:00Z</dcterms:modified>
</cp:coreProperties>
</file>