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4F01" w:rsidP="00164F01">
      <w:pPr>
        <w:pStyle w:val="Title"/>
      </w:pPr>
      <w:r>
        <w:fldChar w:fldCharType="begin"/>
      </w:r>
      <w:r>
        <w:instrText xml:space="preserve"> TITLE   \* MERGEFORMAT </w:instrText>
      </w:r>
      <w:r>
        <w:fldChar w:fldCharType="separate"/>
      </w:r>
      <w:r>
        <w:t>Assessment Requirements for RIIPGP301D Conduct drying activities</w:t>
      </w:r>
      <w:r>
        <w:fldChar w:fldCharType="end"/>
      </w:r>
    </w:p>
    <w:p w:rsidR="00164F01" w:rsidP="00164F01">
      <w:pPr>
        <w:pStyle w:val="Version"/>
        <w:sectPr w:rsidSect="00B62E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62E21" w:rsidP="00B62E21">
      <w:pPr>
        <w:pStyle w:val="SuperHeading"/>
      </w:pPr>
      <w:r w:rsidRPr="00B62E21">
        <w:t>Assessment Requirements for RIIPGP301D Conduct drying activities</w:t>
      </w:r>
    </w:p>
    <w:p w:rsidR="00000000" w:rsidRPr="00B62E21" w:rsidP="00B62E21">
      <w:pPr>
        <w:pStyle w:val="Heading1"/>
      </w:pPr>
      <w:bookmarkStart w:id="1" w:name="O_687438"/>
      <w:bookmarkEnd w:id="1"/>
      <w:r w:rsidRPr="00B62E21">
        <w:t>Modification History</w:t>
      </w:r>
    </w:p>
    <w:tbl>
      <w:tblPr>
        <w:tblW w:w="0" w:type="auto"/>
        <w:tblCellMar>
          <w:left w:w="62" w:type="dxa"/>
          <w:right w:w="62" w:type="dxa"/>
        </w:tblCellMar>
        <w:tblLook w:val="0000"/>
      </w:tblPr>
      <w:tblGrid>
        <w:gridCol w:w="1107"/>
        <w:gridCol w:w="8089"/>
      </w:tblGrid>
      <w:tr w:rsidTr="00164F01">
        <w:tblPrEx>
          <w:tblW w:w="0" w:type="auto"/>
          <w:tblCellMar>
            <w:left w:w="62" w:type="dxa"/>
            <w:right w:w="62" w:type="dxa"/>
          </w:tblCellMar>
          <w:tblLook w:val="0000"/>
        </w:tblPrEx>
        <w:trPr>
          <w:trHeight w:val="51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E21">
            <w:pPr>
              <w:pStyle w:val="Heading4"/>
              <w:rPr>
                <w:lang w:val="en-NZ"/>
              </w:rPr>
            </w:pPr>
            <w:r w:rsidRPr="00B62E2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E21">
            <w:pPr>
              <w:pStyle w:val="Heading4"/>
              <w:rPr>
                <w:lang w:val="en-NZ"/>
              </w:rPr>
            </w:pPr>
            <w:r w:rsidRPr="00B62E21">
              <w:t>Comment</w:t>
            </w:r>
          </w:p>
        </w:tc>
      </w:tr>
      <w:tr w:rsidTr="00164F0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E21">
            <w:pPr>
              <w:pStyle w:val="BodyText"/>
              <w:rPr>
                <w:lang w:val="en-NZ"/>
              </w:rPr>
            </w:pPr>
            <w:r w:rsidRPr="00B62E2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E21">
            <w:pPr>
              <w:pStyle w:val="BodyText"/>
              <w:rPr>
                <w:lang w:val="en-NZ"/>
              </w:rPr>
            </w:pPr>
            <w:r w:rsidRPr="00B62E21">
              <w:t>This unit replaces RIIPGP301A Conduct drying activities.</w:t>
            </w:r>
          </w:p>
        </w:tc>
      </w:tr>
      <w:tr w:rsidTr="00164F0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E21">
            <w:pPr>
              <w:pStyle w:val="BodyText"/>
              <w:rPr>
                <w:lang w:val="en-NZ"/>
              </w:rPr>
            </w:pPr>
            <w:r w:rsidRPr="00B62E2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E21">
            <w:pPr>
              <w:pStyle w:val="BodyText"/>
              <w:rPr>
                <w:lang w:val="en-NZ"/>
              </w:rPr>
            </w:pPr>
            <w:r w:rsidRPr="00B62E21">
              <w:t>Amended Performance Criteria to remove repetition.</w:t>
            </w:r>
          </w:p>
        </w:tc>
      </w:tr>
      <w:tr w:rsidTr="00164F01">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E21">
            <w:pPr>
              <w:pStyle w:val="BodyText"/>
              <w:rPr>
                <w:lang w:val="en-NZ"/>
              </w:rPr>
            </w:pPr>
            <w:r w:rsidRPr="00B62E21">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E21" w:rsidP="00B62E21">
            <w:pPr>
              <w:pStyle w:val="BodyText"/>
            </w:pPr>
            <w:r w:rsidRPr="00B62E21">
              <w:t>Required frequency and volume of evidence amended in Performance evidence.</w:t>
            </w:r>
          </w:p>
          <w:p w:rsidR="00000000" w:rsidRPr="00B62E21" w:rsidP="00B62E21">
            <w:pPr>
              <w:pStyle w:val="BodyText"/>
            </w:pPr>
            <w:r w:rsidRPr="00B62E21">
              <w:t>Substantial amendments made in Assessment Conditions field, including: references to Industry Sectors, assessor and subject matter expert experience requirements, how assessment sho</w:t>
            </w:r>
            <w:r w:rsidRPr="00B62E21">
              <w:t>uld be conducted and what it should confirm.</w:t>
            </w:r>
          </w:p>
        </w:tc>
      </w:tr>
    </w:tbl>
    <w:p w:rsidR="00000000" w:rsidRPr="00B62E21" w:rsidP="00B62E21">
      <w:pPr>
        <w:pStyle w:val="BodyText"/>
      </w:pPr>
    </w:p>
    <w:p w:rsidR="00000000" w:rsidRPr="00B62E21" w:rsidP="00B62E21">
      <w:pPr>
        <w:pStyle w:val="AllowPageBreak"/>
      </w:pPr>
    </w:p>
    <w:p w:rsidR="00000000" w:rsidRPr="00B62E21" w:rsidP="00B62E21">
      <w:pPr>
        <w:pStyle w:val="Heading1"/>
      </w:pPr>
      <w:bookmarkStart w:id="2" w:name="O_687437"/>
      <w:bookmarkEnd w:id="2"/>
      <w:r w:rsidRPr="00B62E21">
        <w:t>Performance Evidence</w:t>
      </w:r>
    </w:p>
    <w:p w:rsidR="00000000" w:rsidRPr="00B62E21" w:rsidP="00164F01">
      <w:pPr>
        <w:pStyle w:val="BodyText"/>
      </w:pPr>
      <w:r w:rsidRPr="00B62E21">
        <w:t>Evidence is required to be collected that demonstrates a candidate’s competency in this unit. Evidence must be relevant to the roles within this sector’</w:t>
      </w:r>
      <w:r w:rsidRPr="00B62E21">
        <w:t>s work operations and satisfy all of the requirements of the performance criteria of this unit and include evidence that the candidate:</w:t>
      </w:r>
    </w:p>
    <w:p w:rsidR="00000000" w:rsidRPr="00B62E21" w:rsidP="00B62E21">
      <w:pPr>
        <w:pStyle w:val="ListBullet"/>
      </w:pPr>
      <w:r w:rsidRPr="00B62E21">
        <w:t>locates and applies applicable legislation, documentation, policies and procedures</w:t>
      </w:r>
    </w:p>
    <w:p w:rsidR="00000000" w:rsidRPr="00B62E21" w:rsidP="00B62E21">
      <w:pPr>
        <w:pStyle w:val="ListBullet"/>
      </w:pPr>
      <w:r w:rsidRPr="00B62E21">
        <w:t xml:space="preserve">implements requirements, procedures </w:t>
      </w:r>
      <w:r w:rsidRPr="00B62E21">
        <w:t>and techniques for the safe, effective conducting of drying activities including:</w:t>
      </w:r>
    </w:p>
    <w:p w:rsidR="00000000" w:rsidRPr="00B62E21" w:rsidP="00B62E21">
      <w:pPr>
        <w:pStyle w:val="ListBullet2"/>
      </w:pPr>
      <w:r w:rsidRPr="00B62E21">
        <w:t>selecting and using relevant tools and equipment</w:t>
      </w:r>
    </w:p>
    <w:p w:rsidR="00000000" w:rsidRPr="00B62E21" w:rsidP="00B62E21">
      <w:pPr>
        <w:pStyle w:val="ListBullet2"/>
      </w:pPr>
      <w:r w:rsidRPr="00B62E21">
        <w:t>handling dangerous materials</w:t>
      </w:r>
    </w:p>
    <w:p w:rsidR="00000000" w:rsidRPr="00B62E21" w:rsidP="00B62E21">
      <w:pPr>
        <w:pStyle w:val="ListBullet2"/>
      </w:pPr>
      <w:r w:rsidRPr="00B62E21">
        <w:t>reading and interpreting instrumentation</w:t>
      </w:r>
    </w:p>
    <w:p w:rsidR="00000000" w:rsidRPr="00B62E21" w:rsidP="00B62E21">
      <w:pPr>
        <w:pStyle w:val="ListBullet2"/>
      </w:pPr>
      <w:r w:rsidRPr="00B62E21">
        <w:t>operating lift equipment (manual, cranes and loads)</w:t>
      </w:r>
    </w:p>
    <w:p w:rsidR="00000000" w:rsidRPr="00B62E21" w:rsidP="00B62E21">
      <w:pPr>
        <w:pStyle w:val="ListBullet2"/>
      </w:pPr>
      <w:r w:rsidRPr="00B62E21">
        <w:t>diagnosing faults and performing troubleshooting</w:t>
      </w:r>
    </w:p>
    <w:p w:rsidR="00000000" w:rsidRPr="00B62E21" w:rsidP="00B62E21">
      <w:pPr>
        <w:pStyle w:val="ListBullet"/>
      </w:pPr>
      <w:r w:rsidRPr="00B62E21">
        <w:t>works with others to undertake and complete the conduct of drying activities that meets all of the required outcomes including:</w:t>
      </w:r>
    </w:p>
    <w:p w:rsidR="00000000" w:rsidRPr="00B62E21" w:rsidP="00B62E21">
      <w:pPr>
        <w:pStyle w:val="ListBullet2"/>
      </w:pPr>
      <w:r w:rsidRPr="00B62E21">
        <w:t>using a range of communications techniques and equipment to convey informatio</w:t>
      </w:r>
      <w:r w:rsidRPr="00B62E21">
        <w:t>n to others</w:t>
      </w:r>
    </w:p>
    <w:p w:rsidR="00000000" w:rsidRPr="00B62E21" w:rsidP="00B62E21">
      <w:pPr>
        <w:pStyle w:val="ListBullet2"/>
      </w:pPr>
      <w:r w:rsidRPr="00B62E21">
        <w:t>maintaining written and verbal reporting requirements and procedures</w:t>
      </w:r>
    </w:p>
    <w:p w:rsidR="00000000" w:rsidRPr="00B62E21" w:rsidP="00B62E21">
      <w:pPr>
        <w:pStyle w:val="ListBullet2"/>
      </w:pPr>
      <w:r w:rsidRPr="00B62E21">
        <w:t>communicating to confirm work requirements</w:t>
      </w:r>
    </w:p>
    <w:p w:rsidR="00000000" w:rsidRPr="00B62E21" w:rsidP="00B62E21">
      <w:pPr>
        <w:pStyle w:val="ListBullet2"/>
      </w:pPr>
      <w:r w:rsidRPr="00B62E21">
        <w:t>passing on end of shift information</w:t>
      </w:r>
    </w:p>
    <w:p w:rsidR="00000000" w:rsidRPr="00B62E21" w:rsidP="00B62E21">
      <w:pPr>
        <w:pStyle w:val="ListBullet2"/>
      </w:pPr>
      <w:r w:rsidRPr="00B62E21">
        <w:t xml:space="preserve">reviewing plant performance with oncoming shift </w:t>
      </w:r>
    </w:p>
    <w:p w:rsidR="00000000" w:rsidRPr="00B62E21" w:rsidP="00B62E21">
      <w:pPr>
        <w:pStyle w:val="ListBullet"/>
      </w:pPr>
      <w:r w:rsidRPr="00B62E21">
        <w:t>demonstrates completion of the conduction of d</w:t>
      </w:r>
      <w:r w:rsidRPr="00B62E21">
        <w:t>rying that safely, effectively and efficiently meets all of the required outcomes on more than one (1) occasion including:</w:t>
      </w:r>
    </w:p>
    <w:p w:rsidR="00000000" w:rsidRPr="00B62E21" w:rsidP="00B62E21">
      <w:pPr>
        <w:pStyle w:val="ListBullet2"/>
      </w:pPr>
      <w:r w:rsidRPr="00B62E21">
        <w:t>completing equipment start-up in sequence</w:t>
      </w:r>
    </w:p>
    <w:p w:rsidR="00000000" w:rsidRPr="00B62E21" w:rsidP="00B62E21">
      <w:pPr>
        <w:pStyle w:val="ListBullet2"/>
      </w:pPr>
      <w:r w:rsidRPr="00B62E21">
        <w:t>correctly operating and monitoring equipment including:</w:t>
      </w:r>
    </w:p>
    <w:p w:rsidR="00000000" w:rsidRPr="00B62E21" w:rsidP="00B62E21">
      <w:pPr>
        <w:pStyle w:val="ListBullet3"/>
      </w:pPr>
      <w:r w:rsidRPr="00B62E21">
        <w:t xml:space="preserve">starting up drying plant, </w:t>
      </w:r>
    </w:p>
    <w:p w:rsidR="00000000" w:rsidRPr="00B62E21" w:rsidP="00B62E21">
      <w:pPr>
        <w:pStyle w:val="ListBullet3"/>
      </w:pPr>
      <w:r w:rsidRPr="00B62E21">
        <w:t xml:space="preserve">monitoring drying process, </w:t>
      </w:r>
    </w:p>
    <w:p w:rsidR="00000000" w:rsidRPr="00B62E21" w:rsidP="00B62E21">
      <w:pPr>
        <w:pStyle w:val="ListBullet3"/>
      </w:pPr>
      <w:r w:rsidRPr="00B62E21">
        <w:t>taking and interpreting data from equipment indicator readings to determine drying efficiency</w:t>
      </w:r>
    </w:p>
    <w:p w:rsidR="00000000" w:rsidRPr="00B62E21" w:rsidP="00B62E21">
      <w:pPr>
        <w:pStyle w:val="ListBullet2"/>
      </w:pPr>
      <w:r w:rsidRPr="00B62E21">
        <w:t>inspecting operations/plant and catchment areas/sumps to identify drying process defects and potential problems</w:t>
      </w:r>
    </w:p>
    <w:p w:rsidR="00000000" w:rsidRPr="00B62E21" w:rsidP="00B62E21">
      <w:pPr>
        <w:pStyle w:val="ListBullet2"/>
      </w:pPr>
      <w:r w:rsidRPr="00B62E21">
        <w:t>adjusting equipment t</w:t>
      </w:r>
      <w:r w:rsidRPr="00B62E21">
        <w:t>o approved operating parameters to optimise and maintain efficient drying and to meet product quality targets</w:t>
      </w:r>
    </w:p>
    <w:p w:rsidR="00000000" w:rsidRPr="00B62E21" w:rsidP="00B62E21">
      <w:pPr>
        <w:pStyle w:val="ListBullet2"/>
      </w:pPr>
      <w:r w:rsidRPr="00B62E21">
        <w:t>taking samples and conducting tests</w:t>
      </w:r>
    </w:p>
    <w:p w:rsidR="00000000" w:rsidRPr="00B62E21" w:rsidP="00B62E21">
      <w:pPr>
        <w:pStyle w:val="ListBullet2"/>
      </w:pPr>
      <w:r w:rsidRPr="00B62E21">
        <w:t>adding reagents to approved operating parameters</w:t>
      </w:r>
    </w:p>
    <w:p w:rsidR="00000000" w:rsidRPr="00B62E21" w:rsidP="00B62E21">
      <w:pPr>
        <w:pStyle w:val="AllowPageBreak"/>
      </w:pPr>
    </w:p>
    <w:p w:rsidR="00000000" w:rsidRPr="00B62E21" w:rsidP="00B62E21">
      <w:pPr>
        <w:pStyle w:val="Heading1"/>
      </w:pPr>
      <w:bookmarkStart w:id="3" w:name="O_687436"/>
      <w:bookmarkEnd w:id="3"/>
      <w:r w:rsidRPr="00B62E21">
        <w:t>Knowledge Evidence</w:t>
      </w:r>
    </w:p>
    <w:p w:rsidR="00000000" w:rsidRPr="00B62E21" w:rsidP="00164F01">
      <w:pPr>
        <w:pStyle w:val="BodyText"/>
      </w:pPr>
      <w:r w:rsidRPr="00B62E21">
        <w:t>The candidate must demons</w:t>
      </w:r>
      <w:r w:rsidRPr="00B62E21">
        <w:t>trate knowledge of conducting drying activities through:</w:t>
      </w:r>
    </w:p>
    <w:p w:rsidR="00000000" w:rsidRPr="00B62E21" w:rsidP="00B62E21">
      <w:pPr>
        <w:pStyle w:val="ListBullet"/>
      </w:pPr>
      <w:r w:rsidRPr="00B62E21">
        <w:t>diagnosing faults</w:t>
      </w:r>
    </w:p>
    <w:p w:rsidR="00000000" w:rsidRPr="00B62E21" w:rsidP="00B62E21">
      <w:pPr>
        <w:pStyle w:val="ListBullet"/>
      </w:pPr>
      <w:r w:rsidRPr="00B62E21">
        <w:t>interpreting e-reports</w:t>
      </w:r>
    </w:p>
    <w:p w:rsidR="00000000" w:rsidRPr="00B62E21" w:rsidP="00B62E21">
      <w:pPr>
        <w:pStyle w:val="ListBullet"/>
      </w:pPr>
      <w:r w:rsidRPr="00B62E21">
        <w:t>maintaining records</w:t>
      </w:r>
    </w:p>
    <w:p w:rsidR="00000000" w:rsidRPr="00B62E21" w:rsidP="00B62E21">
      <w:pPr>
        <w:pStyle w:val="ListBullet"/>
      </w:pPr>
      <w:r w:rsidRPr="00B62E21">
        <w:t>monitoring operations</w:t>
      </w:r>
    </w:p>
    <w:p w:rsidR="00000000" w:rsidRPr="00B62E21" w:rsidP="00B62E21">
      <w:pPr>
        <w:pStyle w:val="ListBullet"/>
      </w:pPr>
      <w:r w:rsidRPr="00B62E21">
        <w:t>reporting defects</w:t>
      </w:r>
    </w:p>
    <w:p w:rsidR="00000000" w:rsidRPr="00B62E21" w:rsidP="00B62E21">
      <w:pPr>
        <w:pStyle w:val="ListBullet"/>
      </w:pPr>
      <w:r w:rsidRPr="00B62E21">
        <w:t>applying troubleshooting</w:t>
      </w:r>
    </w:p>
    <w:p w:rsidR="00000000" w:rsidRPr="00B62E21" w:rsidP="00B62E21">
      <w:pPr>
        <w:pStyle w:val="ListBullet"/>
      </w:pPr>
      <w:r w:rsidRPr="00B62E21">
        <w:t xml:space="preserve">identifying contaminants </w:t>
      </w:r>
    </w:p>
    <w:p w:rsidR="00000000" w:rsidRPr="00B62E21" w:rsidP="00B62E21">
      <w:pPr>
        <w:pStyle w:val="ListBullet"/>
      </w:pPr>
      <w:r w:rsidRPr="00B62E21">
        <w:t>applying drying process (basic)</w:t>
      </w:r>
    </w:p>
    <w:p w:rsidR="00000000" w:rsidRPr="00B62E21" w:rsidP="00B62E21">
      <w:pPr>
        <w:pStyle w:val="ListBullet"/>
      </w:pPr>
      <w:r w:rsidRPr="00B62E21">
        <w:t>applying environmental procedures</w:t>
      </w:r>
    </w:p>
    <w:p w:rsidR="00000000" w:rsidRPr="00B62E21" w:rsidP="00B62E21">
      <w:pPr>
        <w:pStyle w:val="ListBullet"/>
      </w:pPr>
      <w:r w:rsidRPr="00B62E21">
        <w:t>maintaining equipment limitations and operating parameters</w:t>
      </w:r>
    </w:p>
    <w:p w:rsidR="00000000" w:rsidRPr="00B62E21" w:rsidP="00B62E21">
      <w:pPr>
        <w:pStyle w:val="ListBullet"/>
      </w:pPr>
      <w:r w:rsidRPr="00B62E21">
        <w:t>complying with equipment safety requirements</w:t>
      </w:r>
    </w:p>
    <w:p w:rsidR="00000000" w:rsidRPr="00B62E21" w:rsidP="00B62E21">
      <w:pPr>
        <w:pStyle w:val="ListBullet"/>
      </w:pPr>
      <w:r w:rsidRPr="00B62E21">
        <w:t>interpreting metallurgical and technical data (basic)</w:t>
      </w:r>
    </w:p>
    <w:p w:rsidR="00000000" w:rsidRPr="00B62E21" w:rsidP="00B62E21">
      <w:pPr>
        <w:pStyle w:val="ListBullet"/>
      </w:pPr>
      <w:r w:rsidRPr="00B62E21">
        <w:t>complying with operational procedures and checks</w:t>
      </w:r>
    </w:p>
    <w:p w:rsidR="00000000" w:rsidRPr="00B62E21" w:rsidP="00B62E21">
      <w:pPr>
        <w:pStyle w:val="ListBullet"/>
      </w:pPr>
      <w:r w:rsidRPr="00B62E21">
        <w:t>identifying and</w:t>
      </w:r>
      <w:r w:rsidRPr="00B62E21">
        <w:t xml:space="preserve"> applying pumping system and flow charts (pipeline and sprinkler systems)</w:t>
      </w:r>
    </w:p>
    <w:p w:rsidR="00000000" w:rsidRPr="00B62E21" w:rsidP="00B62E21">
      <w:pPr>
        <w:pStyle w:val="ListBullet"/>
      </w:pPr>
      <w:r w:rsidRPr="00B62E21">
        <w:t>identifying reagent types</w:t>
      </w:r>
    </w:p>
    <w:p w:rsidR="00000000" w:rsidRPr="00B62E21" w:rsidP="00B62E21">
      <w:pPr>
        <w:pStyle w:val="ListBullet"/>
      </w:pPr>
      <w:r w:rsidRPr="00B62E21">
        <w:t>using sampling</w:t>
      </w:r>
    </w:p>
    <w:p w:rsidR="00000000" w:rsidRPr="00B62E21" w:rsidP="00B62E21">
      <w:pPr>
        <w:pStyle w:val="ListBullet"/>
      </w:pPr>
      <w:r w:rsidRPr="00B62E21">
        <w:t>identifying types of ores (basic)</w:t>
      </w:r>
    </w:p>
    <w:p w:rsidR="00000000" w:rsidRPr="00B62E21" w:rsidP="00B62E21">
      <w:pPr>
        <w:pStyle w:val="ListBullet"/>
      </w:pPr>
      <w:r w:rsidRPr="00B62E21">
        <w:t>being prepared for fire/accident/emergency</w:t>
      </w:r>
    </w:p>
    <w:p w:rsidR="00000000" w:rsidRPr="00B62E21" w:rsidP="00B62E21">
      <w:pPr>
        <w:pStyle w:val="AllowPageBreak"/>
      </w:pPr>
    </w:p>
    <w:p w:rsidR="00000000" w:rsidRPr="00B62E21" w:rsidP="00B62E21">
      <w:pPr>
        <w:pStyle w:val="Heading1"/>
      </w:pPr>
      <w:bookmarkStart w:id="4" w:name="O_687435"/>
      <w:bookmarkEnd w:id="4"/>
      <w:r w:rsidRPr="00B62E21">
        <w:t>Assessment Conditions</w:t>
      </w:r>
    </w:p>
    <w:p w:rsidR="00000000" w:rsidRPr="00B62E21" w:rsidP="00B62E21">
      <w:pPr>
        <w:pStyle w:val="ListBullet"/>
      </w:pPr>
      <w:r w:rsidRPr="00B62E21">
        <w:t>An assessor of this unit</w:t>
      </w:r>
      <w:r w:rsidRPr="00B62E21">
        <w:t xml:space="preserve"> must satisfy the requirements of the NVR/AQTF or their successors; and Industry regulations for certification and licensing; and, </w:t>
      </w:r>
    </w:p>
    <w:p w:rsidR="00000000" w:rsidRPr="00B62E21" w:rsidP="00B62E21">
      <w:pPr>
        <w:pStyle w:val="ListBullet"/>
      </w:pPr>
      <w:r w:rsidRPr="00B62E21">
        <w:t>this unit must be assessed in the context of this sector’s work environment; and,</w:t>
      </w:r>
    </w:p>
    <w:p w:rsidR="00000000" w:rsidRPr="00B62E21" w:rsidP="00B62E21">
      <w:pPr>
        <w:pStyle w:val="ListBullet"/>
      </w:pPr>
      <w:r w:rsidRPr="00B62E21">
        <w:t>this unit must be assessed in compliance w</w:t>
      </w:r>
      <w:r w:rsidRPr="00B62E21">
        <w:t>ith relevant legislation/regulation and using policies, procedures, processes and operational manuals directly related to the industry sector for which it is being assessed; and,</w:t>
      </w:r>
    </w:p>
    <w:p w:rsidR="00000000" w:rsidRPr="00B62E21" w:rsidP="00B62E21">
      <w:pPr>
        <w:pStyle w:val="ListBullet"/>
      </w:pPr>
      <w:r w:rsidRPr="00B62E21">
        <w:t>assessment may be conducted in conjunction with the assessment of other Units of Competency; and,</w:t>
      </w:r>
    </w:p>
    <w:p w:rsidR="00000000" w:rsidRPr="00B62E21" w:rsidP="00B62E21">
      <w:pPr>
        <w:pStyle w:val="ListBullet"/>
      </w:pPr>
      <w:r w:rsidRPr="00B62E21">
        <w:t>assessment must confirm consistent performance can be applied in a range of relevant workplace circumstances; and,</w:t>
      </w:r>
    </w:p>
    <w:p w:rsidR="00000000" w:rsidRPr="00B62E21" w:rsidP="00B62E21">
      <w:pPr>
        <w:pStyle w:val="ListBullet"/>
      </w:pPr>
      <w:r w:rsidRPr="00B62E21">
        <w:t xml:space="preserve">assessors must demonstrate the performance </w:t>
      </w:r>
      <w:r w:rsidRPr="00B62E21">
        <w:t>evidence, and knowledge evidence as outlined in this Unit of Competency, and through the minimum years of current* work experience specified below in an Industry sector relevant to the outcomes of the unit; or,</w:t>
      </w:r>
    </w:p>
    <w:p w:rsidR="00000000" w:rsidRPr="00B62E21" w:rsidP="00B62E21">
      <w:pPr>
        <w:pStyle w:val="ListBullet"/>
      </w:pPr>
      <w:r w:rsidRPr="00B62E21">
        <w:t>where the assessor does not meet experience r</w:t>
      </w:r>
      <w:r w:rsidRPr="00B62E21">
        <w:t>equirements a co-assessment or partnership arrangement must exist between the qualified assessor and an Industry subject matter expert. The Industry subject matter expert should hold the unit being assessed (or an equivalent unit) and/or demonstrate equiva</w:t>
      </w:r>
      <w:r w:rsidRPr="00B62E21">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B62E21">
        <w:t>unit being assessed; and,</w:t>
      </w:r>
    </w:p>
    <w:p w:rsidR="00000000" w:rsidRPr="00B62E21" w:rsidP="00B62E21">
      <w:pPr>
        <w:pStyle w:val="ListBullet"/>
      </w:pPr>
      <w:r w:rsidRPr="00B62E21">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62E2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E21">
            <w:pPr>
              <w:pStyle w:val="SubHeading1"/>
              <w:rPr>
                <w:lang w:val="en-NZ"/>
              </w:rPr>
            </w:pPr>
            <w:r w:rsidRPr="00B62E2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E21">
            <w:pPr>
              <w:pStyle w:val="SubHeading1"/>
              <w:rPr>
                <w:lang w:val="en-NZ"/>
              </w:rPr>
            </w:pPr>
            <w:r w:rsidRPr="00B62E2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E21">
            <w:pPr>
              <w:pStyle w:val="SubHeading1"/>
              <w:rPr>
                <w:lang w:val="en-NZ"/>
              </w:rPr>
            </w:pPr>
            <w:r w:rsidRPr="00B62E21">
              <w:t>Re</w:t>
            </w:r>
            <w:r w:rsidRPr="00B62E21">
              <w:t>quired assessor or Industry subject matter expert experience</w:t>
            </w:r>
          </w:p>
        </w:tc>
      </w:tr>
      <w:tr w:rsidTr="00B62E2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E21">
            <w:pPr>
              <w:pStyle w:val="BodyText"/>
              <w:rPr>
                <w:lang w:val="en-NZ"/>
              </w:rPr>
            </w:pPr>
            <w:r w:rsidRPr="00B62E2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E21">
            <w:pPr>
              <w:pStyle w:val="BodyText"/>
              <w:rPr>
                <w:lang w:val="en-NZ"/>
              </w:rPr>
            </w:pPr>
            <w:r w:rsidRPr="00B62E2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E21">
            <w:pPr>
              <w:pStyle w:val="BodyText"/>
              <w:rPr>
                <w:lang w:val="en-NZ"/>
              </w:rPr>
            </w:pPr>
            <w:r w:rsidRPr="00B62E21">
              <w:t>1 Year</w:t>
            </w:r>
          </w:p>
        </w:tc>
      </w:tr>
      <w:tr w:rsidTr="00B62E2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E21">
            <w:pPr>
              <w:pStyle w:val="BodyText"/>
              <w:rPr>
                <w:lang w:val="en-NZ"/>
              </w:rPr>
            </w:pPr>
            <w:r w:rsidRPr="00B62E2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E21">
            <w:pPr>
              <w:pStyle w:val="BodyText"/>
              <w:rPr>
                <w:lang w:val="en-NZ"/>
              </w:rPr>
            </w:pPr>
            <w:r w:rsidRPr="00B62E21">
              <w:t>2 Years</w:t>
            </w:r>
          </w:p>
        </w:tc>
      </w:tr>
      <w:tr w:rsidTr="00B62E2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E21">
            <w:pPr>
              <w:pStyle w:val="BodyText"/>
              <w:rPr>
                <w:lang w:val="en-NZ"/>
              </w:rPr>
            </w:pPr>
            <w:r w:rsidRPr="00B62E2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E21">
            <w:pPr>
              <w:pStyle w:val="BodyText"/>
              <w:rPr>
                <w:lang w:val="en-NZ"/>
              </w:rPr>
            </w:pPr>
            <w:r w:rsidRPr="00B62E2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E21">
            <w:pPr>
              <w:pStyle w:val="BodyText"/>
              <w:rPr>
                <w:lang w:val="en-NZ"/>
              </w:rPr>
            </w:pPr>
            <w:r w:rsidRPr="00B62E21">
              <w:t>3 Years</w:t>
            </w:r>
          </w:p>
        </w:tc>
      </w:tr>
      <w:tr w:rsidTr="00B62E2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E21">
            <w:pPr>
              <w:pStyle w:val="BodyText"/>
              <w:rPr>
                <w:lang w:val="en-NZ"/>
              </w:rPr>
            </w:pPr>
            <w:r w:rsidRPr="00B62E2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E21">
            <w:pPr>
              <w:pStyle w:val="BodyText"/>
              <w:rPr>
                <w:lang w:val="en-NZ"/>
              </w:rPr>
            </w:pPr>
            <w:r w:rsidRPr="00B62E2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E21">
            <w:pPr>
              <w:pStyle w:val="BodyText"/>
              <w:rPr>
                <w:lang w:val="en-NZ"/>
              </w:rPr>
            </w:pPr>
            <w:r w:rsidRPr="00B62E21">
              <w:t>5 Years</w:t>
            </w:r>
          </w:p>
        </w:tc>
      </w:tr>
      <w:tr w:rsidTr="00B62E2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E21">
            <w:pPr>
              <w:pStyle w:val="BodyText"/>
              <w:rPr>
                <w:lang w:val="en-NZ"/>
              </w:rPr>
            </w:pPr>
            <w:r w:rsidRPr="00B62E2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62E21" w:rsidP="00B62E21">
            <w:pPr>
              <w:pStyle w:val="BodyText"/>
            </w:pPr>
            <w:r w:rsidRPr="00B62E21">
              <w:t xml:space="preserve">Where this Unit is being assessed outside of the Resources and Infrastructure Sectors assessor and/or Industry subject matter expert experience </w:t>
            </w:r>
            <w:r w:rsidRPr="00B62E21">
              <w:t>should be in-line with industry standards for the sector in which it is being assessed and where no Industry standard is specified should comply with any relevant regulation.</w:t>
            </w:r>
          </w:p>
        </w:tc>
      </w:tr>
    </w:tbl>
    <w:p w:rsidR="00000000" w:rsidRPr="00B62E21" w:rsidP="00164F01">
      <w:pPr>
        <w:pStyle w:val="BodyText"/>
      </w:pPr>
      <w:r w:rsidRPr="00B62E21">
        <w:t>*Assessors can demonstrate current work experience through employment within In</w:t>
      </w:r>
      <w:r w:rsidRPr="00B62E21">
        <w:t>dustry in a role relevant to the outcomes of the Unit; or, for external assessors this can be demonstrated through exposure to Industry by conducting frequent site assessments across various locations.</w:t>
      </w:r>
    </w:p>
    <w:p w:rsidR="00000000" w:rsidRPr="00B62E21" w:rsidP="00164F01">
      <w:pPr>
        <w:pStyle w:val="BodyText"/>
      </w:pPr>
      <w:r w:rsidRPr="00B62E21">
        <w:t>**Where a unit is being delivered outside of a Qualifi</w:t>
      </w:r>
      <w:r w:rsidRPr="00B62E21">
        <w:t>cation the first numeric character in the Unit code should be considered to indicate the AQF level</w:t>
      </w:r>
    </w:p>
    <w:p w:rsidR="00000000" w:rsidRPr="00B62E21" w:rsidP="00B62E21">
      <w:pPr>
        <w:pStyle w:val="Heading1"/>
      </w:pPr>
      <w:bookmarkStart w:id="5" w:name="O_687447"/>
      <w:bookmarkEnd w:id="5"/>
      <w:r w:rsidRPr="00B62E21">
        <w:t>Links</w:t>
      </w:r>
    </w:p>
    <w:p w:rsidR="00000000" w:rsidRPr="00B62E21" w:rsidP="00164F01">
      <w:pPr>
        <w:pStyle w:val="BodyText"/>
      </w:pPr>
      <w:r w:rsidRPr="00B62E2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2345B">
        <w:rPr>
          <w:rStyle w:val="Hyperlink"/>
        </w:rPr>
        <w:t>https://vetnet.gov.au/Pages/TrainingDocs.aspx?q=88a61002-9a21-4386-aaf8-69c76e675272</w:t>
      </w:r>
      <w:r>
        <w:fldChar w:fldCharType="end"/>
      </w:r>
    </w:p>
    <w:p w:rsidR="00000000" w:rsidRPr="00B62E21" w:rsidP="00B62E21"/>
    <w:sectPr w:rsidSect="00B62E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21" w:rsidRPr="00164F01" w:rsidP="00164F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F01" w:rsidP="00B62E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4F01" w:rsidP="00B62E2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64F01" w:rsidP="00B62E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F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2E21" w:rsidRPr="00164F01" w:rsidP="00164F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F01" w:rsidRPr="002D2AF8" w:rsidP="00B62E21">
    <w:pPr>
      <w:pStyle w:val="Header"/>
      <w:framePr w:wrap="around"/>
    </w:pPr>
    <w:r>
      <w:fldChar w:fldCharType="begin"/>
    </w:r>
    <w:r>
      <w:instrText xml:space="preserve"> TITLE   \* MERGEFORMAT </w:instrText>
    </w:r>
    <w:r>
      <w:fldChar w:fldCharType="separate"/>
    </w:r>
    <w:r>
      <w:t>Assessment Requirements for RIIPGP301D Conduct drying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64F01" w:rsidP="00B62E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B823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4451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58A6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E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2E21"/>
    <w:pPr>
      <w:spacing w:before="360" w:after="60"/>
      <w:outlineLvl w:val="0"/>
    </w:pPr>
    <w:rPr>
      <w:sz w:val="32"/>
    </w:rPr>
  </w:style>
  <w:style w:type="paragraph" w:styleId="Heading2">
    <w:name w:val="heading 2"/>
    <w:basedOn w:val="HeadingBase"/>
    <w:next w:val="BodyText"/>
    <w:link w:val="Heading2Char"/>
    <w:qFormat/>
    <w:rsid w:val="00B62E21"/>
    <w:pPr>
      <w:keepLines/>
      <w:spacing w:before="240" w:after="120"/>
      <w:outlineLvl w:val="1"/>
    </w:pPr>
    <w:rPr>
      <w:sz w:val="28"/>
      <w:szCs w:val="40"/>
    </w:rPr>
  </w:style>
  <w:style w:type="paragraph" w:styleId="Heading3">
    <w:name w:val="heading 3"/>
    <w:basedOn w:val="HeadingBase"/>
    <w:next w:val="BodyText"/>
    <w:link w:val="Heading3Char"/>
    <w:qFormat/>
    <w:rsid w:val="00B62E21"/>
    <w:pPr>
      <w:spacing w:before="180" w:after="120"/>
      <w:outlineLvl w:val="2"/>
    </w:pPr>
    <w:rPr>
      <w:spacing w:val="-10"/>
      <w:kern w:val="32"/>
    </w:rPr>
  </w:style>
  <w:style w:type="paragraph" w:styleId="Heading4">
    <w:name w:val="heading 4"/>
    <w:basedOn w:val="HeadingBase"/>
    <w:next w:val="BodyText"/>
    <w:link w:val="Heading4Char"/>
    <w:qFormat/>
    <w:rsid w:val="00B62E21"/>
    <w:pPr>
      <w:spacing w:before="160" w:after="120"/>
      <w:outlineLvl w:val="3"/>
    </w:pPr>
    <w:rPr>
      <w:sz w:val="22"/>
    </w:rPr>
  </w:style>
  <w:style w:type="paragraph" w:styleId="Heading5">
    <w:name w:val="heading 5"/>
    <w:basedOn w:val="HeadingBase"/>
    <w:next w:val="Normal"/>
    <w:link w:val="Heading5Char"/>
    <w:qFormat/>
    <w:rsid w:val="00B62E21"/>
    <w:pPr>
      <w:spacing w:before="80"/>
      <w:outlineLvl w:val="4"/>
    </w:pPr>
    <w:rPr>
      <w:color w:val="918585"/>
      <w:sz w:val="20"/>
    </w:rPr>
  </w:style>
  <w:style w:type="paragraph" w:styleId="Heading6">
    <w:name w:val="heading 6"/>
    <w:basedOn w:val="HeadingBase"/>
    <w:next w:val="Normal"/>
    <w:link w:val="Heading6Char"/>
    <w:qFormat/>
    <w:rsid w:val="00B62E21"/>
    <w:pPr>
      <w:spacing w:before="60"/>
      <w:outlineLvl w:val="5"/>
    </w:pPr>
    <w:rPr>
      <w:color w:val="918585"/>
      <w:sz w:val="20"/>
    </w:rPr>
  </w:style>
  <w:style w:type="paragraph" w:styleId="Heading7">
    <w:name w:val="heading 7"/>
    <w:basedOn w:val="Normal"/>
    <w:next w:val="Normal"/>
    <w:link w:val="Heading7Char"/>
    <w:qFormat/>
    <w:rsid w:val="00B62E21"/>
    <w:pPr>
      <w:ind w:left="720"/>
      <w:outlineLvl w:val="6"/>
    </w:pPr>
    <w:rPr>
      <w:i/>
    </w:rPr>
  </w:style>
  <w:style w:type="paragraph" w:styleId="Heading8">
    <w:name w:val="heading 8"/>
    <w:basedOn w:val="Normal"/>
    <w:next w:val="Normal"/>
    <w:link w:val="Heading8Char"/>
    <w:qFormat/>
    <w:rsid w:val="00B62E21"/>
    <w:pPr>
      <w:ind w:left="720"/>
      <w:outlineLvl w:val="7"/>
    </w:pPr>
    <w:rPr>
      <w:i/>
    </w:rPr>
  </w:style>
  <w:style w:type="paragraph" w:styleId="Heading9">
    <w:name w:val="heading 9"/>
    <w:basedOn w:val="Normal"/>
    <w:next w:val="Normal"/>
    <w:link w:val="Heading9Char"/>
    <w:qFormat/>
    <w:rsid w:val="00B62E21"/>
    <w:pPr>
      <w:ind w:left="720"/>
      <w:outlineLvl w:val="8"/>
    </w:pPr>
    <w:rPr>
      <w:i/>
    </w:rPr>
  </w:style>
  <w:style w:type="character" w:default="1" w:styleId="DefaultParagraphFont">
    <w:name w:val="Default Paragraph Font"/>
    <w:uiPriority w:val="1"/>
    <w:unhideWhenUsed/>
    <w:rsid w:val="00B62E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2E21"/>
  </w:style>
  <w:style w:type="character" w:customStyle="1" w:styleId="Heading1Char">
    <w:name w:val="Heading 1 Char"/>
    <w:basedOn w:val="DefaultParagraphFont"/>
    <w:link w:val="Heading1"/>
    <w:rsid w:val="00B62E2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62E21"/>
    <w:rPr>
      <w:rFonts w:ascii="Times New Roman" w:eastAsia="Times New Roman" w:hAnsi="Times New Roman" w:cs="Times New Roman"/>
      <w:b/>
      <w:szCs w:val="20"/>
      <w:lang w:eastAsia="en-US"/>
    </w:rPr>
  </w:style>
  <w:style w:type="paragraph" w:styleId="BodyText">
    <w:name w:val="Body Text"/>
    <w:basedOn w:val="Normal"/>
    <w:link w:val="BodyTextChar"/>
    <w:rsid w:val="00B62E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2E21"/>
    <w:rPr>
      <w:rFonts w:ascii="Times New Roman" w:eastAsia="Times New Roman" w:hAnsi="Times New Roman" w:cs="Times New Roman"/>
      <w:sz w:val="24"/>
      <w:lang w:eastAsia="en-US"/>
    </w:rPr>
  </w:style>
  <w:style w:type="paragraph" w:styleId="ListBullet">
    <w:name w:val="List Bullet"/>
    <w:basedOn w:val="List"/>
    <w:rsid w:val="00B62E21"/>
    <w:pPr>
      <w:numPr>
        <w:numId w:val="13"/>
      </w:numPr>
      <w:tabs>
        <w:tab w:val="clear" w:pos="340"/>
      </w:tabs>
      <w:spacing w:before="40" w:after="40"/>
    </w:pPr>
  </w:style>
  <w:style w:type="paragraph" w:styleId="ListBullet2">
    <w:name w:val="List Bullet 2"/>
    <w:basedOn w:val="List2"/>
    <w:rsid w:val="00B62E21"/>
    <w:pPr>
      <w:numPr>
        <w:numId w:val="14"/>
      </w:numPr>
      <w:tabs>
        <w:tab w:val="clear" w:pos="680"/>
      </w:tabs>
    </w:pPr>
  </w:style>
  <w:style w:type="paragraph" w:customStyle="1" w:styleId="SuperHeading">
    <w:name w:val="SuperHeading"/>
    <w:basedOn w:val="Normal"/>
    <w:rsid w:val="00B62E21"/>
    <w:pPr>
      <w:spacing w:before="240" w:after="120"/>
      <w:outlineLvl w:val="0"/>
    </w:pPr>
    <w:rPr>
      <w:rFonts w:ascii="Times New Roman" w:hAnsi="Times New Roman"/>
      <w:b/>
      <w:sz w:val="32"/>
    </w:rPr>
  </w:style>
  <w:style w:type="paragraph" w:customStyle="1" w:styleId="AllowPageBreak">
    <w:name w:val="AllowPageBreak"/>
    <w:rsid w:val="00B62E2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B62E21"/>
    <w:pPr>
      <w:spacing w:before="240" w:after="60"/>
    </w:pPr>
    <w:rPr>
      <w:color w:val="918585"/>
      <w:sz w:val="22"/>
    </w:rPr>
  </w:style>
  <w:style w:type="paragraph" w:styleId="ListBullet3">
    <w:name w:val="List Bullet 3"/>
    <w:basedOn w:val="List3"/>
    <w:rsid w:val="00B62E21"/>
    <w:pPr>
      <w:numPr>
        <w:numId w:val="3"/>
      </w:numPr>
      <w:tabs>
        <w:tab w:val="clear" w:pos="1021"/>
      </w:tabs>
      <w:ind w:left="1037" w:hanging="357"/>
    </w:pPr>
  </w:style>
  <w:style w:type="character" w:customStyle="1" w:styleId="Heading2Char">
    <w:name w:val="Heading 2 Char"/>
    <w:basedOn w:val="DefaultParagraphFont"/>
    <w:link w:val="Heading2"/>
    <w:rsid w:val="00B62E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2E2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62E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2E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2E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2E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2E21"/>
    <w:rPr>
      <w:rFonts w:ascii="Courier New" w:eastAsia="Times New Roman" w:hAnsi="Courier New" w:cs="Times New Roman"/>
      <w:i/>
      <w:szCs w:val="20"/>
      <w:lang w:eastAsia="en-US"/>
    </w:rPr>
  </w:style>
  <w:style w:type="paragraph" w:customStyle="1" w:styleId="HeadingBase">
    <w:name w:val="Heading Base"/>
    <w:rsid w:val="00B62E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2E21"/>
    <w:pPr>
      <w:tabs>
        <w:tab w:val="right" w:leader="dot" w:pos="9072"/>
      </w:tabs>
      <w:ind w:left="567"/>
    </w:pPr>
    <w:rPr>
      <w:szCs w:val="22"/>
    </w:rPr>
  </w:style>
  <w:style w:type="paragraph" w:customStyle="1" w:styleId="TOCBase">
    <w:name w:val="TOC Base"/>
    <w:rsid w:val="00B62E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2E21"/>
    <w:pPr>
      <w:tabs>
        <w:tab w:val="right" w:leader="dot" w:pos="9072"/>
      </w:tabs>
      <w:spacing w:before="40" w:after="40"/>
      <w:ind w:left="284"/>
    </w:pPr>
    <w:rPr>
      <w:rFonts w:ascii="Times New Roman" w:hAnsi="Times New Roman"/>
    </w:rPr>
  </w:style>
  <w:style w:type="paragraph" w:styleId="TOC1">
    <w:name w:val="toc 1"/>
    <w:basedOn w:val="TOCBase"/>
    <w:next w:val="Normal"/>
    <w:rsid w:val="00B62E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2E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2E21"/>
    <w:rPr>
      <w:rFonts w:ascii="Times New Roman" w:eastAsia="Times New Roman" w:hAnsi="Times New Roman" w:cs="Times New Roman"/>
      <w:sz w:val="16"/>
      <w:lang w:eastAsia="en-US"/>
    </w:rPr>
  </w:style>
  <w:style w:type="paragraph" w:styleId="Title">
    <w:name w:val="Title"/>
    <w:basedOn w:val="HeadingBase"/>
    <w:link w:val="TitleChar"/>
    <w:qFormat/>
    <w:rsid w:val="00B62E21"/>
    <w:pPr>
      <w:spacing w:before="5040"/>
      <w:jc w:val="center"/>
    </w:pPr>
    <w:rPr>
      <w:sz w:val="48"/>
      <w:szCs w:val="72"/>
      <w:lang w:val="en-US"/>
    </w:rPr>
  </w:style>
  <w:style w:type="character" w:customStyle="1" w:styleId="TitleChar">
    <w:name w:val="Title Char"/>
    <w:basedOn w:val="DefaultParagraphFont"/>
    <w:link w:val="Title"/>
    <w:rsid w:val="00B62E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2E21"/>
    <w:pPr>
      <w:tabs>
        <w:tab w:val="left" w:pos="3600"/>
        <w:tab w:val="left" w:pos="3958"/>
      </w:tabs>
    </w:pPr>
  </w:style>
  <w:style w:type="paragraph" w:styleId="List">
    <w:name w:val="List"/>
    <w:basedOn w:val="BodyText"/>
    <w:next w:val="BodyText"/>
    <w:rsid w:val="00B62E21"/>
    <w:pPr>
      <w:tabs>
        <w:tab w:val="left" w:pos="340"/>
      </w:tabs>
      <w:spacing w:before="60" w:after="60"/>
      <w:ind w:left="340" w:hanging="340"/>
    </w:pPr>
  </w:style>
  <w:style w:type="paragraph" w:customStyle="1" w:styleId="Note">
    <w:name w:val="Note"/>
    <w:basedOn w:val="BodyText"/>
    <w:rsid w:val="00B62E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2E21"/>
    <w:rPr>
      <w:b/>
      <w:spacing w:val="0"/>
    </w:rPr>
  </w:style>
  <w:style w:type="paragraph" w:customStyle="1" w:styleId="SuperTitle">
    <w:name w:val="SuperTitle"/>
    <w:basedOn w:val="Title"/>
    <w:rsid w:val="00B62E21"/>
    <w:pPr>
      <w:framePr w:wrap="auto" w:hAnchor="text" w:y="6049"/>
    </w:pPr>
    <w:rPr>
      <w:color w:val="000000"/>
      <w:sz w:val="40"/>
    </w:rPr>
  </w:style>
  <w:style w:type="paragraph" w:customStyle="1" w:styleId="TOCTitle">
    <w:name w:val="TOCTitle"/>
    <w:basedOn w:val="Heading1"/>
    <w:rsid w:val="00B62E21"/>
    <w:pPr>
      <w:spacing w:after="240"/>
      <w:jc w:val="center"/>
      <w:outlineLvl w:val="9"/>
    </w:pPr>
    <w:rPr>
      <w:caps/>
    </w:rPr>
  </w:style>
  <w:style w:type="paragraph" w:customStyle="1" w:styleId="Version">
    <w:name w:val="Version"/>
    <w:rsid w:val="00B62E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2E21"/>
    <w:pPr>
      <w:keepNext w:val="0"/>
      <w:tabs>
        <w:tab w:val="right" w:pos="4176"/>
      </w:tabs>
      <w:ind w:left="198" w:hanging="198"/>
    </w:pPr>
    <w:rPr>
      <w:rFonts w:ascii="Garamond" w:hAnsi="Garamond"/>
    </w:rPr>
  </w:style>
  <w:style w:type="paragraph" w:styleId="IndexHeading">
    <w:name w:val="index heading"/>
    <w:basedOn w:val="Normal"/>
    <w:next w:val="Index1"/>
    <w:semiHidden/>
    <w:rsid w:val="00B62E21"/>
    <w:pPr>
      <w:spacing w:before="120" w:after="120"/>
    </w:pPr>
    <w:rPr>
      <w:rFonts w:ascii="Arial" w:hAnsi="Arial"/>
      <w:b/>
      <w:color w:val="918585"/>
      <w:sz w:val="24"/>
    </w:rPr>
  </w:style>
  <w:style w:type="paragraph" w:styleId="Header">
    <w:name w:val="header"/>
    <w:basedOn w:val="Normal"/>
    <w:link w:val="HeaderChar"/>
    <w:rsid w:val="00B62E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2E21"/>
    <w:rPr>
      <w:rFonts w:ascii="Times New Roman" w:eastAsia="Times New Roman" w:hAnsi="Times New Roman" w:cs="Times New Roman"/>
      <w:sz w:val="16"/>
      <w:szCs w:val="20"/>
      <w:lang w:val="en-GB" w:eastAsia="en-US"/>
    </w:rPr>
  </w:style>
  <w:style w:type="paragraph" w:customStyle="1" w:styleId="Chapter">
    <w:name w:val="Chapter"/>
    <w:basedOn w:val="Normal"/>
    <w:rsid w:val="00B62E21"/>
    <w:pPr>
      <w:spacing w:before="240"/>
    </w:pPr>
    <w:rPr>
      <w:rFonts w:ascii="Times New Roman" w:hAnsi="Times New Roman"/>
      <w:smallCaps/>
      <w:spacing w:val="80"/>
      <w:sz w:val="28"/>
    </w:rPr>
  </w:style>
  <w:style w:type="paragraph" w:customStyle="1" w:styleId="InChapter">
    <w:name w:val="InChapter"/>
    <w:basedOn w:val="Heading3"/>
    <w:rsid w:val="00B62E21"/>
    <w:pPr>
      <w:spacing w:after="240"/>
      <w:outlineLvl w:val="9"/>
    </w:pPr>
    <w:rPr>
      <w:noProof/>
    </w:rPr>
  </w:style>
  <w:style w:type="paragraph" w:styleId="Index2">
    <w:name w:val="index 2"/>
    <w:basedOn w:val="Normal"/>
    <w:next w:val="Normal"/>
    <w:semiHidden/>
    <w:rsid w:val="00B62E21"/>
    <w:pPr>
      <w:tabs>
        <w:tab w:val="right" w:pos="4176"/>
      </w:tabs>
      <w:ind w:left="568" w:hanging="284"/>
    </w:pPr>
    <w:rPr>
      <w:rFonts w:ascii="Garamond" w:hAnsi="Garamond"/>
    </w:rPr>
  </w:style>
  <w:style w:type="paragraph" w:customStyle="1" w:styleId="Byline">
    <w:name w:val="Byline"/>
    <w:rsid w:val="00B62E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2E21"/>
    <w:pPr>
      <w:tabs>
        <w:tab w:val="clear" w:pos="3600"/>
        <w:tab w:val="clear" w:pos="3958"/>
      </w:tabs>
      <w:jc w:val="right"/>
    </w:pPr>
  </w:style>
  <w:style w:type="character" w:styleId="Emphasis">
    <w:name w:val="Emphasis"/>
    <w:basedOn w:val="DefaultParagraphFont"/>
    <w:qFormat/>
    <w:rsid w:val="00B62E21"/>
    <w:rPr>
      <w:i/>
    </w:rPr>
  </w:style>
  <w:style w:type="paragraph" w:styleId="Caption">
    <w:name w:val="caption"/>
    <w:basedOn w:val="BodyText"/>
    <w:next w:val="Normal"/>
    <w:qFormat/>
    <w:rsid w:val="00B62E21"/>
    <w:pPr>
      <w:framePr w:w="2268" w:hSpace="181" w:vSpace="181" w:wrap="around" w:vAnchor="text" w:hAnchor="page" w:x="1135" w:y="285" w:anchorLock="1"/>
    </w:pPr>
    <w:rPr>
      <w:i/>
    </w:rPr>
  </w:style>
  <w:style w:type="paragraph" w:customStyle="1" w:styleId="MiniTOCTitle">
    <w:name w:val="MiniTOCTitle"/>
    <w:basedOn w:val="Heading4"/>
    <w:rsid w:val="00B62E21"/>
    <w:pPr>
      <w:spacing w:before="240"/>
      <w:outlineLvl w:val="9"/>
    </w:pPr>
    <w:rPr>
      <w:noProof/>
      <w:sz w:val="24"/>
    </w:rPr>
  </w:style>
  <w:style w:type="paragraph" w:customStyle="1" w:styleId="MiniTOCItem">
    <w:name w:val="MiniTOCItem"/>
    <w:basedOn w:val="ListBullet"/>
    <w:rsid w:val="00B62E21"/>
    <w:pPr>
      <w:numPr>
        <w:numId w:val="0"/>
      </w:numPr>
      <w:tabs>
        <w:tab w:val="right" w:leader="dot" w:pos="6521"/>
      </w:tabs>
      <w:spacing w:before="0" w:after="0"/>
    </w:pPr>
  </w:style>
  <w:style w:type="paragraph" w:customStyle="1" w:styleId="TOFTitle">
    <w:name w:val="TOFTitle"/>
    <w:basedOn w:val="TOCTitle"/>
    <w:rsid w:val="00B62E21"/>
  </w:style>
  <w:style w:type="paragraph" w:styleId="TableofFigures">
    <w:name w:val="table of figures"/>
    <w:basedOn w:val="Normal"/>
    <w:next w:val="Normal"/>
    <w:semiHidden/>
    <w:rsid w:val="00B62E21"/>
    <w:pPr>
      <w:tabs>
        <w:tab w:val="right" w:leader="dot" w:pos="9072"/>
      </w:tabs>
      <w:ind w:left="970" w:hanging="403"/>
    </w:pPr>
    <w:rPr>
      <w:rFonts w:ascii="Times New Roman" w:hAnsi="Times New Roman"/>
      <w:b/>
    </w:rPr>
  </w:style>
  <w:style w:type="paragraph" w:styleId="ListNumber">
    <w:name w:val="List Number"/>
    <w:basedOn w:val="List"/>
    <w:rsid w:val="00B62E21"/>
    <w:pPr>
      <w:numPr>
        <w:numId w:val="16"/>
      </w:numPr>
      <w:tabs>
        <w:tab w:val="clear" w:pos="340"/>
      </w:tabs>
    </w:pPr>
  </w:style>
  <w:style w:type="character" w:customStyle="1" w:styleId="WingdingSymbols">
    <w:name w:val="Wingding Symbols"/>
    <w:rsid w:val="00B62E21"/>
    <w:rPr>
      <w:rFonts w:ascii="Wingdings" w:hAnsi="Wingdings"/>
    </w:rPr>
  </w:style>
  <w:style w:type="paragraph" w:customStyle="1" w:styleId="TableHeading">
    <w:name w:val="Table Heading"/>
    <w:basedOn w:val="HeadingBase"/>
    <w:rsid w:val="00B62E21"/>
    <w:pPr>
      <w:keepLines/>
      <w:pBdr>
        <w:bottom w:val="single" w:sz="6" w:space="1" w:color="918585"/>
      </w:pBdr>
      <w:spacing w:before="240"/>
    </w:pPr>
  </w:style>
  <w:style w:type="character" w:customStyle="1" w:styleId="HotSpot">
    <w:name w:val="HotSpot"/>
    <w:rsid w:val="00B62E21"/>
    <w:rPr>
      <w:color w:val="0033CC"/>
      <w:u w:val="none"/>
    </w:rPr>
  </w:style>
  <w:style w:type="paragraph" w:customStyle="1" w:styleId="BodyTextRight">
    <w:name w:val="Body Text Right"/>
    <w:basedOn w:val="BodyText"/>
    <w:rsid w:val="00B62E21"/>
    <w:pPr>
      <w:spacing w:before="0" w:after="0"/>
      <w:jc w:val="right"/>
    </w:pPr>
  </w:style>
  <w:style w:type="paragraph" w:styleId="Index3">
    <w:name w:val="index 3"/>
    <w:basedOn w:val="ListNumber2"/>
    <w:next w:val="Normal"/>
    <w:semiHidden/>
    <w:rsid w:val="00B62E21"/>
    <w:pPr>
      <w:numPr>
        <w:numId w:val="0"/>
      </w:numPr>
      <w:tabs>
        <w:tab w:val="right" w:leader="dot" w:pos="4176"/>
      </w:tabs>
    </w:pPr>
  </w:style>
  <w:style w:type="paragraph" w:styleId="ListNumber2">
    <w:name w:val="List Number 2"/>
    <w:basedOn w:val="List2"/>
    <w:rsid w:val="00B62E21"/>
    <w:pPr>
      <w:numPr>
        <w:numId w:val="11"/>
      </w:numPr>
      <w:tabs>
        <w:tab w:val="clear" w:pos="1060"/>
      </w:tabs>
    </w:pPr>
  </w:style>
  <w:style w:type="paragraph" w:customStyle="1" w:styleId="MarginNote">
    <w:name w:val="Margin Note"/>
    <w:basedOn w:val="BodyText"/>
    <w:rsid w:val="00B62E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2E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2E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2E21"/>
    <w:rPr>
      <w:sz w:val="32"/>
    </w:rPr>
  </w:style>
  <w:style w:type="paragraph" w:customStyle="1" w:styleId="HeadingProcedure">
    <w:name w:val="Heading Procedure"/>
    <w:basedOn w:val="HeadingBase"/>
    <w:next w:val="Normal"/>
    <w:rsid w:val="00B62E21"/>
    <w:pPr>
      <w:tabs>
        <w:tab w:val="left" w:pos="0"/>
      </w:tabs>
      <w:spacing w:before="120" w:after="60"/>
    </w:pPr>
    <w:rPr>
      <w:i/>
      <w:color w:val="918585"/>
      <w:sz w:val="22"/>
    </w:rPr>
  </w:style>
  <w:style w:type="paragraph" w:customStyle="1" w:styleId="TableBodyText">
    <w:name w:val="Table Body Text"/>
    <w:basedOn w:val="BodyText"/>
    <w:rsid w:val="00B62E21"/>
    <w:pPr>
      <w:spacing w:before="60" w:after="60"/>
    </w:pPr>
  </w:style>
  <w:style w:type="paragraph" w:styleId="ListContinue">
    <w:name w:val="List Continue"/>
    <w:basedOn w:val="List"/>
    <w:rsid w:val="00B62E21"/>
    <w:pPr>
      <w:ind w:firstLine="0"/>
    </w:pPr>
  </w:style>
  <w:style w:type="paragraph" w:customStyle="1" w:styleId="ListNote">
    <w:name w:val="List Note"/>
    <w:basedOn w:val="List"/>
    <w:rsid w:val="00B62E21"/>
    <w:pPr>
      <w:pBdr>
        <w:top w:val="single" w:sz="6" w:space="2" w:color="918585"/>
        <w:bottom w:val="single" w:sz="6" w:space="2" w:color="918585"/>
      </w:pBdr>
      <w:tabs>
        <w:tab w:val="left" w:pos="1021"/>
      </w:tabs>
      <w:ind w:firstLine="0"/>
    </w:pPr>
  </w:style>
  <w:style w:type="paragraph" w:customStyle="1" w:styleId="Warning">
    <w:name w:val="Warning"/>
    <w:basedOn w:val="BodyText"/>
    <w:rsid w:val="00B62E21"/>
    <w:pPr>
      <w:shd w:val="clear" w:color="auto" w:fill="D9D9D9"/>
      <w:tabs>
        <w:tab w:val="left" w:pos="992"/>
      </w:tabs>
      <w:ind w:left="119" w:right="119"/>
    </w:pPr>
    <w:rPr>
      <w:sz w:val="20"/>
    </w:rPr>
  </w:style>
  <w:style w:type="paragraph" w:customStyle="1" w:styleId="MarginIcons">
    <w:name w:val="Margin Icons"/>
    <w:basedOn w:val="BodyText"/>
    <w:rsid w:val="00B62E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2E21"/>
    <w:rPr>
      <w:rFonts w:ascii="Courier New" w:hAnsi="Courier New"/>
    </w:rPr>
  </w:style>
  <w:style w:type="paragraph" w:customStyle="1" w:styleId="NoteBullet">
    <w:name w:val="Note Bullet"/>
    <w:basedOn w:val="Note"/>
    <w:rsid w:val="00B62E21"/>
    <w:pPr>
      <w:tabs>
        <w:tab w:val="clear" w:pos="680"/>
      </w:tabs>
      <w:spacing w:before="60" w:after="60"/>
    </w:pPr>
  </w:style>
  <w:style w:type="paragraph" w:customStyle="1" w:styleId="SubHeading2">
    <w:name w:val="SubHeading2"/>
    <w:basedOn w:val="HeadingBase"/>
    <w:rsid w:val="00B62E21"/>
    <w:pPr>
      <w:spacing w:before="240" w:after="60"/>
    </w:pPr>
    <w:rPr>
      <w:sz w:val="20"/>
    </w:rPr>
  </w:style>
  <w:style w:type="paragraph" w:customStyle="1" w:styleId="SideHeading">
    <w:name w:val="Side Heading"/>
    <w:basedOn w:val="HeadingBase"/>
    <w:rsid w:val="00B62E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2E21"/>
    <w:pPr>
      <w:numPr>
        <w:numId w:val="12"/>
      </w:numPr>
    </w:pPr>
  </w:style>
  <w:style w:type="paragraph" w:styleId="PlainText">
    <w:name w:val="Plain Text"/>
    <w:basedOn w:val="Normal"/>
    <w:link w:val="PlainTextChar"/>
    <w:rsid w:val="00B62E21"/>
    <w:rPr>
      <w:sz w:val="20"/>
    </w:rPr>
  </w:style>
  <w:style w:type="character" w:customStyle="1" w:styleId="PlainTextChar">
    <w:name w:val="Plain Text Char"/>
    <w:basedOn w:val="DefaultParagraphFont"/>
    <w:link w:val="PlainText"/>
    <w:rsid w:val="00B62E21"/>
    <w:rPr>
      <w:rFonts w:ascii="Courier New" w:eastAsia="Times New Roman" w:hAnsi="Courier New" w:cs="Times New Roman"/>
      <w:sz w:val="20"/>
      <w:szCs w:val="20"/>
      <w:lang w:eastAsia="en-US"/>
    </w:rPr>
  </w:style>
  <w:style w:type="character" w:customStyle="1" w:styleId="MenuOption">
    <w:name w:val="Menu Option"/>
    <w:basedOn w:val="DefaultParagraphFont"/>
    <w:rsid w:val="00B62E21"/>
    <w:rPr>
      <w:b/>
      <w:smallCaps/>
    </w:rPr>
  </w:style>
  <w:style w:type="paragraph" w:customStyle="1" w:styleId="TableListNumber">
    <w:name w:val="Table List Number"/>
    <w:basedOn w:val="ListNumber"/>
    <w:rsid w:val="00B62E21"/>
    <w:pPr>
      <w:numPr>
        <w:numId w:val="0"/>
      </w:numPr>
    </w:pPr>
  </w:style>
  <w:style w:type="paragraph" w:styleId="TOC4">
    <w:name w:val="toc 4"/>
    <w:basedOn w:val="TOCBase"/>
    <w:next w:val="Normal"/>
    <w:semiHidden/>
    <w:rsid w:val="00B62E21"/>
    <w:pPr>
      <w:tabs>
        <w:tab w:val="right" w:leader="dot" w:pos="9071"/>
      </w:tabs>
      <w:ind w:left="1701"/>
    </w:pPr>
  </w:style>
  <w:style w:type="paragraph" w:customStyle="1" w:styleId="ListAlpha">
    <w:name w:val="List Alpha"/>
    <w:basedOn w:val="List"/>
    <w:rsid w:val="00B62E21"/>
    <w:pPr>
      <w:numPr>
        <w:numId w:val="10"/>
      </w:numPr>
    </w:pPr>
  </w:style>
  <w:style w:type="paragraph" w:customStyle="1" w:styleId="ListAlpha2">
    <w:name w:val="List Alpha 2"/>
    <w:basedOn w:val="List2"/>
    <w:rsid w:val="00B62E21"/>
    <w:pPr>
      <w:numPr>
        <w:numId w:val="9"/>
      </w:numPr>
    </w:pPr>
  </w:style>
  <w:style w:type="paragraph" w:styleId="List2">
    <w:name w:val="List 2"/>
    <w:basedOn w:val="BodyText"/>
    <w:rsid w:val="00B62E21"/>
    <w:pPr>
      <w:tabs>
        <w:tab w:val="left" w:pos="680"/>
      </w:tabs>
      <w:spacing w:before="60" w:after="60"/>
      <w:ind w:left="680" w:hanging="340"/>
    </w:pPr>
  </w:style>
  <w:style w:type="paragraph" w:styleId="List3">
    <w:name w:val="List 3"/>
    <w:basedOn w:val="BodyText"/>
    <w:rsid w:val="00B62E21"/>
    <w:pPr>
      <w:tabs>
        <w:tab w:val="left" w:pos="1021"/>
      </w:tabs>
      <w:spacing w:before="60" w:after="60"/>
      <w:ind w:left="1020" w:hanging="340"/>
    </w:pPr>
  </w:style>
  <w:style w:type="paragraph" w:styleId="List4">
    <w:name w:val="List 4"/>
    <w:basedOn w:val="BodyText"/>
    <w:rsid w:val="00B62E21"/>
    <w:pPr>
      <w:tabs>
        <w:tab w:val="left" w:pos="1361"/>
      </w:tabs>
      <w:spacing w:before="60" w:after="60"/>
      <w:ind w:left="1361" w:hanging="340"/>
    </w:pPr>
  </w:style>
  <w:style w:type="paragraph" w:styleId="List5">
    <w:name w:val="List 5"/>
    <w:basedOn w:val="BodyText"/>
    <w:rsid w:val="00B62E21"/>
    <w:pPr>
      <w:tabs>
        <w:tab w:val="left" w:pos="1701"/>
      </w:tabs>
      <w:spacing w:before="60" w:after="60"/>
      <w:ind w:left="1701" w:hanging="340"/>
    </w:pPr>
  </w:style>
  <w:style w:type="paragraph" w:styleId="ListBullet4">
    <w:name w:val="List Bullet 4"/>
    <w:basedOn w:val="List4"/>
    <w:rsid w:val="00B62E21"/>
    <w:pPr>
      <w:numPr>
        <w:numId w:val="4"/>
      </w:numPr>
      <w:tabs>
        <w:tab w:val="clear" w:pos="1361"/>
      </w:tabs>
    </w:pPr>
  </w:style>
  <w:style w:type="paragraph" w:styleId="ListBullet5">
    <w:name w:val="List Bullet 5"/>
    <w:basedOn w:val="List5"/>
    <w:rsid w:val="00B62E21"/>
    <w:pPr>
      <w:numPr>
        <w:numId w:val="5"/>
      </w:numPr>
    </w:pPr>
  </w:style>
  <w:style w:type="paragraph" w:styleId="ListContinue2">
    <w:name w:val="List Continue 2"/>
    <w:basedOn w:val="List2"/>
    <w:rsid w:val="00B62E21"/>
    <w:pPr>
      <w:ind w:firstLine="0"/>
    </w:pPr>
  </w:style>
  <w:style w:type="paragraph" w:styleId="ListContinue3">
    <w:name w:val="List Continue 3"/>
    <w:basedOn w:val="List3"/>
    <w:rsid w:val="00B62E21"/>
    <w:pPr>
      <w:ind w:left="1021" w:firstLine="0"/>
    </w:pPr>
  </w:style>
  <w:style w:type="paragraph" w:styleId="ListContinue4">
    <w:name w:val="List Continue 4"/>
    <w:basedOn w:val="List4"/>
    <w:rsid w:val="00B62E21"/>
    <w:pPr>
      <w:ind w:firstLine="0"/>
    </w:pPr>
  </w:style>
  <w:style w:type="paragraph" w:styleId="ListContinue5">
    <w:name w:val="List Continue 5"/>
    <w:basedOn w:val="List5"/>
    <w:rsid w:val="00B62E21"/>
    <w:pPr>
      <w:ind w:firstLine="0"/>
    </w:pPr>
  </w:style>
  <w:style w:type="paragraph" w:styleId="ListNumber3">
    <w:name w:val="List Number 3"/>
    <w:basedOn w:val="List3"/>
    <w:rsid w:val="00B62E21"/>
    <w:pPr>
      <w:numPr>
        <w:numId w:val="6"/>
      </w:numPr>
    </w:pPr>
  </w:style>
  <w:style w:type="paragraph" w:styleId="ListNumber4">
    <w:name w:val="List Number 4"/>
    <w:basedOn w:val="List4"/>
    <w:rsid w:val="00B62E21"/>
    <w:pPr>
      <w:numPr>
        <w:numId w:val="7"/>
      </w:numPr>
    </w:pPr>
  </w:style>
  <w:style w:type="paragraph" w:styleId="ListNumber5">
    <w:name w:val="List Number 5"/>
    <w:basedOn w:val="List5"/>
    <w:rsid w:val="00B62E21"/>
    <w:pPr>
      <w:numPr>
        <w:numId w:val="8"/>
      </w:numPr>
    </w:pPr>
  </w:style>
  <w:style w:type="paragraph" w:styleId="BlockText">
    <w:name w:val="Block Text"/>
    <w:basedOn w:val="Normal"/>
    <w:rsid w:val="00B62E21"/>
    <w:pPr>
      <w:spacing w:after="120"/>
      <w:ind w:left="1440" w:right="1440"/>
    </w:pPr>
  </w:style>
  <w:style w:type="character" w:customStyle="1" w:styleId="Subscript">
    <w:name w:val="Subscript"/>
    <w:basedOn w:val="DefaultParagraphFont"/>
    <w:rsid w:val="00B62E21"/>
    <w:rPr>
      <w:sz w:val="16"/>
      <w:vertAlign w:val="subscript"/>
    </w:rPr>
  </w:style>
  <w:style w:type="character" w:customStyle="1" w:styleId="Superscript">
    <w:name w:val="Superscript"/>
    <w:basedOn w:val="DefaultParagraphFont"/>
    <w:rsid w:val="00B62E21"/>
    <w:rPr>
      <w:sz w:val="16"/>
      <w:vertAlign w:val="superscript"/>
    </w:rPr>
  </w:style>
  <w:style w:type="character" w:customStyle="1" w:styleId="Symbols">
    <w:name w:val="Symbols"/>
    <w:basedOn w:val="DefaultParagraphFont"/>
    <w:rsid w:val="00B62E21"/>
    <w:rPr>
      <w:rFonts w:ascii="Symbol" w:hAnsi="Symbol"/>
    </w:rPr>
  </w:style>
  <w:style w:type="character" w:customStyle="1" w:styleId="MenuOptions">
    <w:name w:val="Menu Options"/>
    <w:basedOn w:val="DefaultParagraphFont"/>
    <w:rsid w:val="00B62E21"/>
    <w:rPr>
      <w:rFonts w:ascii="Arial Narrow" w:hAnsi="Arial Narrow"/>
      <w:smallCaps/>
    </w:rPr>
  </w:style>
  <w:style w:type="character" w:customStyle="1" w:styleId="Buttons">
    <w:name w:val="Buttons"/>
    <w:basedOn w:val="DefaultParagraphFont"/>
    <w:rsid w:val="00B62E21"/>
    <w:rPr>
      <w:b/>
    </w:rPr>
  </w:style>
  <w:style w:type="character" w:customStyle="1" w:styleId="Underlined">
    <w:name w:val="Underlined"/>
    <w:basedOn w:val="DefaultParagraphFont"/>
    <w:rsid w:val="00B62E21"/>
    <w:rPr>
      <w:u w:val="single"/>
    </w:rPr>
  </w:style>
  <w:style w:type="paragraph" w:customStyle="1" w:styleId="TableBodyTextRight">
    <w:name w:val="Table Body Text Right"/>
    <w:basedOn w:val="TableBodyText"/>
    <w:rsid w:val="00B62E21"/>
    <w:pPr>
      <w:widowControl w:val="0"/>
      <w:autoSpaceDE w:val="0"/>
      <w:autoSpaceDN w:val="0"/>
      <w:adjustRightInd w:val="0"/>
      <w:jc w:val="right"/>
    </w:pPr>
    <w:rPr>
      <w:rFonts w:cs="Arial"/>
      <w:szCs w:val="18"/>
    </w:rPr>
  </w:style>
  <w:style w:type="paragraph" w:customStyle="1" w:styleId="CopyrightText">
    <w:name w:val="Copyright Text"/>
    <w:basedOn w:val="BodyText"/>
    <w:rsid w:val="00B62E21"/>
    <w:rPr>
      <w:sz w:val="18"/>
    </w:rPr>
  </w:style>
  <w:style w:type="paragraph" w:customStyle="1" w:styleId="BodySmallRight">
    <w:name w:val="Body Small Right"/>
    <w:basedOn w:val="BodyTextRight"/>
    <w:rsid w:val="00B62E21"/>
    <w:rPr>
      <w:sz w:val="18"/>
      <w:szCs w:val="18"/>
    </w:rPr>
  </w:style>
  <w:style w:type="paragraph" w:customStyle="1" w:styleId="MarginEdition">
    <w:name w:val="Margin Edition"/>
    <w:basedOn w:val="MarginNote"/>
    <w:rsid w:val="00B62E21"/>
    <w:pPr>
      <w:spacing w:before="0" w:after="0"/>
    </w:pPr>
    <w:rPr>
      <w:rFonts w:ascii="Times New Roman" w:hAnsi="Times New Roman"/>
      <w:color w:val="999999"/>
    </w:rPr>
  </w:style>
  <w:style w:type="paragraph" w:customStyle="1" w:styleId="Spacer">
    <w:name w:val="Spacer"/>
    <w:basedOn w:val="Normal"/>
    <w:rsid w:val="00B62E21"/>
    <w:rPr>
      <w:sz w:val="2"/>
      <w:szCs w:val="2"/>
    </w:rPr>
  </w:style>
  <w:style w:type="character" w:customStyle="1" w:styleId="Small">
    <w:name w:val="Small"/>
    <w:basedOn w:val="DefaultParagraphFont"/>
    <w:rsid w:val="00B62E21"/>
    <w:rPr>
      <w:sz w:val="16"/>
    </w:rPr>
  </w:style>
  <w:style w:type="paragraph" w:customStyle="1" w:styleId="WideTable">
    <w:name w:val="Wide Table"/>
    <w:basedOn w:val="Normal"/>
    <w:rsid w:val="00B62E21"/>
    <w:pPr>
      <w:ind w:left="-1418"/>
    </w:pPr>
    <w:rPr>
      <w:sz w:val="2"/>
      <w:szCs w:val="2"/>
    </w:rPr>
  </w:style>
  <w:style w:type="character" w:styleId="PageNumber">
    <w:name w:val="page number"/>
    <w:basedOn w:val="DefaultParagraphFont"/>
    <w:rsid w:val="00B62E21"/>
  </w:style>
  <w:style w:type="paragraph" w:styleId="Quote">
    <w:name w:val="Quote"/>
    <w:basedOn w:val="Heading1"/>
    <w:link w:val="QuoteChar"/>
    <w:qFormat/>
    <w:rsid w:val="00B62E21"/>
    <w:rPr>
      <w:b w:val="0"/>
      <w:sz w:val="72"/>
      <w:szCs w:val="72"/>
      <w:lang w:val="en-NZ"/>
    </w:rPr>
  </w:style>
  <w:style w:type="character" w:customStyle="1" w:styleId="QuoteChar">
    <w:name w:val="Quote Char"/>
    <w:basedOn w:val="DefaultParagraphFont"/>
    <w:link w:val="Quote"/>
    <w:rsid w:val="00B62E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2E21"/>
    <w:pPr>
      <w:pageBreakBefore/>
    </w:pPr>
  </w:style>
  <w:style w:type="paragraph" w:customStyle="1" w:styleId="Border">
    <w:name w:val="Border"/>
    <w:basedOn w:val="Normal"/>
    <w:qFormat/>
    <w:rsid w:val="00B62E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2E21"/>
    <w:rPr>
      <w:b/>
      <w:bCs/>
      <w:i/>
      <w:iCs/>
      <w:color w:val="auto"/>
    </w:rPr>
  </w:style>
  <w:style w:type="paragraph" w:styleId="IntenseQuote">
    <w:name w:val="Intense Quote"/>
    <w:basedOn w:val="Normal"/>
    <w:next w:val="Normal"/>
    <w:link w:val="IntenseQuoteChar"/>
    <w:uiPriority w:val="30"/>
    <w:qFormat/>
    <w:rsid w:val="00B62E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2E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2E21"/>
    <w:rPr>
      <w:smallCaps/>
      <w:color w:val="auto"/>
      <w:u w:val="single"/>
    </w:rPr>
  </w:style>
  <w:style w:type="character" w:styleId="IntenseReference">
    <w:name w:val="Intense Reference"/>
    <w:basedOn w:val="DefaultParagraphFont"/>
    <w:uiPriority w:val="32"/>
    <w:qFormat/>
    <w:rsid w:val="00B62E21"/>
    <w:rPr>
      <w:b/>
      <w:bCs/>
      <w:smallCaps/>
      <w:color w:val="auto"/>
      <w:spacing w:val="5"/>
      <w:u w:val="single"/>
    </w:rPr>
  </w:style>
  <w:style w:type="paragraph" w:customStyle="1" w:styleId="2ColumnHeading">
    <w:name w:val="2Column Heading"/>
    <w:basedOn w:val="BodyText"/>
    <w:qFormat/>
    <w:rsid w:val="00B62E21"/>
    <w:pPr>
      <w:spacing w:after="60"/>
      <w:ind w:left="-2268"/>
    </w:pPr>
    <w:rPr>
      <w:b/>
    </w:rPr>
  </w:style>
  <w:style w:type="paragraph" w:customStyle="1" w:styleId="Heading1TOC">
    <w:name w:val="Heading1 TOC"/>
    <w:basedOn w:val="Normal"/>
    <w:qFormat/>
    <w:rsid w:val="00B62E21"/>
    <w:pPr>
      <w:spacing w:before="240" w:after="120"/>
    </w:pPr>
    <w:rPr>
      <w:rFonts w:ascii="Times New Roman" w:hAnsi="Times New Roman"/>
      <w:b/>
      <w:sz w:val="32"/>
    </w:rPr>
  </w:style>
  <w:style w:type="paragraph" w:customStyle="1" w:styleId="Heading2TOC">
    <w:name w:val="Heading2 TOC"/>
    <w:basedOn w:val="Normal"/>
    <w:qFormat/>
    <w:rsid w:val="00B62E21"/>
    <w:pPr>
      <w:spacing w:before="240" w:after="60"/>
    </w:pPr>
    <w:rPr>
      <w:rFonts w:ascii="Times New Roman" w:hAnsi="Times New Roman"/>
      <w:b/>
      <w:sz w:val="28"/>
    </w:rPr>
  </w:style>
  <w:style w:type="character" w:customStyle="1" w:styleId="Underline">
    <w:name w:val="Underline"/>
    <w:basedOn w:val="DefaultParagraphFont"/>
    <w:qFormat/>
    <w:rsid w:val="00B62E21"/>
    <w:rPr>
      <w:u w:val="single"/>
    </w:rPr>
  </w:style>
  <w:style w:type="character" w:customStyle="1" w:styleId="BoldandItalics">
    <w:name w:val="Bold and Italics"/>
    <w:qFormat/>
    <w:rsid w:val="00B62E21"/>
    <w:rPr>
      <w:b/>
      <w:i/>
      <w:u w:val="none"/>
    </w:rPr>
  </w:style>
  <w:style w:type="paragraph" w:styleId="BalloonText">
    <w:name w:val="Balloon Text"/>
    <w:basedOn w:val="Normal"/>
    <w:link w:val="BalloonTextChar"/>
    <w:rsid w:val="00B62E21"/>
    <w:rPr>
      <w:rFonts w:ascii="Tahoma" w:hAnsi="Tahoma" w:cs="Tahoma"/>
      <w:sz w:val="16"/>
      <w:szCs w:val="16"/>
    </w:rPr>
  </w:style>
  <w:style w:type="character" w:customStyle="1" w:styleId="BalloonTextChar">
    <w:name w:val="Balloon Text Char"/>
    <w:basedOn w:val="DefaultParagraphFont"/>
    <w:link w:val="BalloonText"/>
    <w:rsid w:val="00B62E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2E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2E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2E21"/>
    <w:rPr>
      <w:b/>
      <w:color w:val="660033"/>
      <w:spacing w:val="0"/>
    </w:rPr>
  </w:style>
  <w:style w:type="paragraph" w:customStyle="1" w:styleId="Nameditemlist">
    <w:name w:val="Named item list"/>
    <w:basedOn w:val="BodyText"/>
    <w:qFormat/>
    <w:rsid w:val="00B62E21"/>
    <w:pPr>
      <w:tabs>
        <w:tab w:val="left" w:pos="2835"/>
      </w:tabs>
      <w:ind w:left="2835" w:hanging="2835"/>
    </w:pPr>
  </w:style>
  <w:style w:type="paragraph" w:customStyle="1" w:styleId="BodyTextnopadding">
    <w:name w:val="Body Text no padding"/>
    <w:basedOn w:val="BodyText"/>
    <w:qFormat/>
    <w:rsid w:val="00B62E21"/>
    <w:pPr>
      <w:spacing w:before="0" w:after="0"/>
    </w:pPr>
  </w:style>
  <w:style w:type="paragraph" w:customStyle="1" w:styleId="BodyTextBold">
    <w:name w:val="Body Text Bold"/>
    <w:basedOn w:val="BodyText"/>
    <w:qFormat/>
    <w:rsid w:val="00B62E21"/>
    <w:rPr>
      <w:b/>
    </w:rPr>
  </w:style>
  <w:style w:type="character" w:styleId="Hyperlink">
    <w:name w:val="Hyperlink"/>
    <w:basedOn w:val="DefaultParagraphFont"/>
    <w:uiPriority w:val="99"/>
    <w:unhideWhenUsed/>
    <w:rsid w:val="00164F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852</Words>
  <Characters>5517</Characters>
  <Application>Microsoft Office Word</Application>
  <DocSecurity>0</DocSecurity>
  <Lines>145</Lines>
  <Paragraphs>102</Paragraphs>
  <ScaleCrop>false</ScaleCrop>
  <Company>Author-it Software Corporation Ltd.</Company>
  <LinksUpToDate>false</LinksUpToDate>
  <CharactersWithSpaces>6267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RIIPGP301D Conduct drying activities</dc:title>
  <dc:subject>Approved</dc:subject>
  <dc:creator>PwC’s Skills for Australia</dc:creator>
  <cp:keywords>Release: 3</cp:keywords>
  <dc:description>Review Date: 12 April 2008</dc:description>
  <cp:lastModifiedBy>HSD_TPCMSd.prod</cp:lastModifiedBy>
  <cp:revision>3</cp:revision>
  <dcterms:created xsi:type="dcterms:W3CDTF">2022-10-18T14:45:00Z</dcterms:created>
  <dcterms:modified xsi:type="dcterms:W3CDTF">2022-10-18T14:45:00Z</dcterms:modified>
</cp:coreProperties>
</file>