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DD0" w:rsidP="009A3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RIIPGP202D Handle reagents</w:t>
      </w:r>
      <w:r>
        <w:fldChar w:fldCharType="end"/>
      </w:r>
    </w:p>
    <w:p w:rsidR="009A3DD0" w:rsidP="009A3DD0">
      <w:pPr>
        <w:pStyle w:val="Version"/>
        <w:sectPr w:rsidSect="00283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B2E" w:rsidP="00283B2E">
      <w:pPr>
        <w:pStyle w:val="SuperHeading"/>
      </w:pPr>
      <w:r w:rsidRPr="00283B2E">
        <w:t>RIIPGP202D Handle reagents</w:t>
      </w:r>
    </w:p>
    <w:p w:rsidR="00000000" w:rsidRPr="00283B2E" w:rsidP="00283B2E">
      <w:pPr>
        <w:pStyle w:val="Heading1"/>
      </w:pPr>
      <w:bookmarkStart w:id="1" w:name="O_687331"/>
      <w:bookmarkEnd w:id="1"/>
      <w:r w:rsidRPr="00283B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3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Heading4"/>
              <w:rPr>
                <w:lang w:val="en-NZ"/>
              </w:rPr>
            </w:pPr>
            <w:r w:rsidRPr="00283B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Heading4"/>
              <w:rPr>
                <w:lang w:val="en-NZ"/>
              </w:rPr>
            </w:pPr>
            <w:r w:rsidRPr="00283B2E">
              <w:t>Comment</w:t>
            </w:r>
          </w:p>
        </w:tc>
      </w:tr>
      <w:tr w:rsidTr="009A3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This unit replaces RIIPGP202A Handle reagents</w:t>
            </w:r>
          </w:p>
        </w:tc>
      </w:tr>
      <w:tr w:rsidTr="009A3D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Required frequency and volume of evidence amended in Performance evidence.</w:t>
            </w:r>
          </w:p>
          <w:p w:rsidR="00000000" w:rsidRPr="00283B2E" w:rsidP="00283B2E">
            <w:pPr>
              <w:pStyle w:val="BodyText"/>
            </w:pPr>
            <w:r w:rsidRPr="00283B2E">
              <w:t>Substantial amendments made in Assessment Conditions field, including: references to Industr</w:t>
            </w:r>
            <w:r w:rsidRPr="00283B2E">
              <w:t>y Sectors, assessor and subject matter expert experience requirements, how assessment should be conducted and what it should confirm.</w:t>
            </w:r>
          </w:p>
        </w:tc>
      </w:tr>
    </w:tbl>
    <w:p w:rsidR="00000000" w:rsidRPr="00283B2E" w:rsidP="00283B2E">
      <w:pPr>
        <w:pStyle w:val="BodyText"/>
      </w:pPr>
    </w:p>
    <w:p w:rsidR="00000000" w:rsidRPr="00283B2E" w:rsidP="00283B2E">
      <w:pPr>
        <w:pStyle w:val="AllowPageBreak"/>
      </w:pPr>
    </w:p>
    <w:p w:rsidR="00000000" w:rsidRPr="00283B2E" w:rsidP="00283B2E">
      <w:pPr>
        <w:pStyle w:val="Heading1"/>
      </w:pPr>
      <w:bookmarkStart w:id="2" w:name="O_687330"/>
      <w:bookmarkEnd w:id="2"/>
      <w:r w:rsidRPr="00283B2E">
        <w:t>Application</w:t>
      </w:r>
    </w:p>
    <w:p w:rsidR="00000000" w:rsidRPr="00283B2E" w:rsidP="009A3DD0">
      <w:pPr>
        <w:pStyle w:val="BodyText"/>
      </w:pPr>
      <w:r w:rsidRPr="00283B2E">
        <w:t>This unit describes a participant’s skills and knowledge required to handle reagents in Met</w:t>
      </w:r>
      <w:r w:rsidRPr="00283B2E">
        <w:t>alliferous Mining.</w:t>
      </w:r>
    </w:p>
    <w:p w:rsidR="00000000" w:rsidRPr="00283B2E" w:rsidP="009A3DD0">
      <w:pPr>
        <w:pStyle w:val="BodyText"/>
      </w:pPr>
      <w:r w:rsidRPr="00283B2E">
        <w:t>This unit is appropriate for those working in operational roles.</w:t>
      </w:r>
    </w:p>
    <w:p w:rsidR="00000000" w:rsidRPr="00283B2E" w:rsidP="009A3DD0">
      <w:pPr>
        <w:pStyle w:val="BodyText"/>
      </w:pPr>
      <w:r w:rsidRPr="00283B2E">
        <w:t>Licensing, legislative, regulatory and certification requirements that apply to this unit can vary between states, territories, and Industry sectors. Relevant information m</w:t>
      </w:r>
      <w:r w:rsidRPr="00283B2E">
        <w:t>ust be sourced prior to application of the unit.</w:t>
      </w:r>
    </w:p>
    <w:p w:rsidR="00000000" w:rsidRPr="00283B2E" w:rsidP="00283B2E">
      <w:pPr>
        <w:pStyle w:val="Heading1"/>
      </w:pPr>
      <w:bookmarkStart w:id="3" w:name="O_687329"/>
      <w:bookmarkEnd w:id="3"/>
      <w:r w:rsidRPr="00283B2E">
        <w:t>Unit Sector</w:t>
      </w:r>
    </w:p>
    <w:p w:rsidR="00000000" w:rsidRPr="00283B2E" w:rsidP="009A3DD0">
      <w:pPr>
        <w:pStyle w:val="BodyText"/>
      </w:pPr>
      <w:r w:rsidRPr="00283B2E">
        <w:t>Metalliferous mining</w:t>
      </w:r>
    </w:p>
    <w:p w:rsidR="00000000" w:rsidRPr="00283B2E" w:rsidP="00283B2E">
      <w:pPr>
        <w:pStyle w:val="Heading1"/>
      </w:pPr>
      <w:bookmarkStart w:id="4" w:name="O_687328"/>
      <w:bookmarkEnd w:id="4"/>
      <w:r w:rsidRPr="00283B2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1.</w:t>
            </w:r>
            <w:r w:rsidRPr="00283B2E">
              <w:tab/>
              <w:t>Plan and prepare for reagents handling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1.1.</w:t>
            </w:r>
            <w:r w:rsidRPr="00283B2E">
              <w:tab/>
            </w:r>
            <w:r w:rsidRPr="00283B2E">
              <w:t>Access, interpret and apply reagents handling documentation and ensure the work activity is compliant</w:t>
            </w:r>
          </w:p>
          <w:p w:rsidR="00000000" w:rsidRPr="00283B2E" w:rsidP="00283B2E">
            <w:pPr>
              <w:pStyle w:val="BodyText"/>
            </w:pPr>
            <w:r w:rsidRPr="00283B2E">
              <w:t>1.2.</w:t>
            </w:r>
            <w:r w:rsidRPr="00283B2E">
              <w:tab/>
              <w:t>Obtain, read, interpret, clarify and confirm work instructions</w:t>
            </w:r>
          </w:p>
          <w:p w:rsidR="00000000" w:rsidRPr="00283B2E" w:rsidP="00283B2E">
            <w:pPr>
              <w:pStyle w:val="BodyText"/>
            </w:pPr>
            <w:r w:rsidRPr="00283B2E">
              <w:t>1.3.</w:t>
            </w:r>
            <w:r w:rsidRPr="00283B2E">
              <w:tab/>
              <w:t xml:space="preserve">Select, and check for faults, equipment/tools for work activities </w:t>
            </w:r>
          </w:p>
          <w:p w:rsidR="00000000" w:rsidRPr="00283B2E" w:rsidP="00283B2E">
            <w:pPr>
              <w:pStyle w:val="BodyText"/>
            </w:pPr>
            <w:r w:rsidRPr="00283B2E">
              <w:t>1.4.</w:t>
            </w:r>
            <w:r w:rsidRPr="00283B2E">
              <w:tab/>
              <w:t>Select an</w:t>
            </w:r>
            <w:r w:rsidRPr="00283B2E">
              <w:t>d wear personal protective equipment appropriate for the activity</w:t>
            </w:r>
          </w:p>
          <w:p w:rsidR="00000000" w:rsidRPr="00283B2E" w:rsidP="00283B2E">
            <w:pPr>
              <w:pStyle w:val="BodyText"/>
            </w:pPr>
            <w:r w:rsidRPr="00283B2E">
              <w:t>1.5.</w:t>
            </w:r>
            <w:r w:rsidRPr="00283B2E">
              <w:tab/>
              <w:t>Identify and address potential risks, hazards and environmental issues, and implement control measures</w:t>
            </w:r>
          </w:p>
          <w:p w:rsidR="00000000" w:rsidRPr="00283B2E" w:rsidP="00283B2E">
            <w:pPr>
              <w:pStyle w:val="BodyText"/>
            </w:pPr>
            <w:r w:rsidRPr="00283B2E">
              <w:t>1.6.</w:t>
            </w:r>
            <w:r w:rsidRPr="00283B2E">
              <w:tab/>
              <w:t>Obtain and interpret emergency procedures, and be prepared for fire/accident/</w:t>
            </w:r>
            <w:r w:rsidRPr="00283B2E">
              <w:t xml:space="preserve"> emergency </w:t>
            </w:r>
          </w:p>
          <w:p w:rsidR="00000000" w:rsidRPr="00283B2E" w:rsidP="00283B2E">
            <w:pPr>
              <w:pStyle w:val="BodyText"/>
            </w:pPr>
            <w:r w:rsidRPr="00283B2E">
              <w:t>1.7.</w:t>
            </w:r>
            <w:r w:rsidRPr="00283B2E">
              <w:tab/>
              <w:t>Communicate with other personnel using approved communication methods</w:t>
            </w:r>
          </w:p>
          <w:p w:rsidR="00000000" w:rsidRPr="00283B2E" w:rsidP="00283B2E">
            <w:pPr>
              <w:pStyle w:val="BodyText"/>
            </w:pPr>
            <w:r w:rsidRPr="00283B2E">
              <w:t>1.8.</w:t>
            </w:r>
            <w:r w:rsidRPr="00283B2E">
              <w:tab/>
              <w:t>Select appropriate type of auxiliary equipment for work activities</w:t>
            </w:r>
          </w:p>
          <w:p w:rsidR="00000000" w:rsidRPr="00283B2E" w:rsidP="00283B2E">
            <w:pPr>
              <w:pStyle w:val="BodyText"/>
            </w:pPr>
            <w:r w:rsidRPr="00283B2E">
              <w:t>1.9.</w:t>
            </w:r>
            <w:r w:rsidRPr="00283B2E">
              <w:tab/>
              <w:t>Perform equipment pre-start checks</w:t>
            </w:r>
          </w:p>
          <w:p w:rsidR="00000000" w:rsidRPr="00283B2E" w:rsidP="00283B2E">
            <w:pPr>
              <w:pStyle w:val="BodyText"/>
            </w:pPr>
            <w:r w:rsidRPr="00283B2E">
              <w:t>1.10.</w:t>
            </w:r>
            <w:r w:rsidRPr="00283B2E">
              <w:tab/>
              <w:t>Select appropriate reagents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1.11.</w:t>
            </w:r>
            <w:r w:rsidRPr="00283B2E">
              <w:tab/>
              <w:t>Use approved fume</w:t>
            </w:r>
            <w:r w:rsidRPr="00283B2E">
              <w:t xml:space="preserve"> suppression and extraction methods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2.</w:t>
            </w:r>
            <w:r w:rsidRPr="00283B2E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2.1.</w:t>
            </w:r>
            <w:r w:rsidRPr="00283B2E">
              <w:tab/>
              <w:t>Carry out start-up procedures and complete start-up checks according to plant configurations and system requirements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2.2.</w:t>
            </w:r>
            <w:r w:rsidRPr="00283B2E">
              <w:tab/>
              <w:t>Confirm plant is operational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3.</w:t>
            </w:r>
            <w:r w:rsidRPr="00283B2E">
              <w:tab/>
              <w:t>Mix reagents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3.1.</w:t>
            </w:r>
            <w:r w:rsidRPr="00283B2E">
              <w:tab/>
              <w:t xml:space="preserve">Safely </w:t>
            </w:r>
            <w:r w:rsidRPr="00283B2E">
              <w:t>mix reagents to required parameters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3.2.</w:t>
            </w:r>
            <w:r w:rsidRPr="00283B2E">
              <w:tab/>
              <w:t>Continuously inspect plant and identify defects and potential problems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4.</w:t>
            </w:r>
            <w:r w:rsidRPr="00283B2E">
              <w:tab/>
              <w:t>Add reagents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4.1.</w:t>
            </w:r>
            <w:r w:rsidRPr="00283B2E">
              <w:tab/>
              <w:t>Add reagent according to specified dosage and recommended location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4.2.</w:t>
            </w:r>
            <w:r w:rsidRPr="00283B2E">
              <w:tab/>
            </w:r>
            <w:r w:rsidRPr="00283B2E">
              <w:t>Complete all required written documentation clearly, concisely and on time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5.</w:t>
            </w:r>
            <w:r w:rsidRPr="00283B2E">
              <w:tab/>
              <w:t>Transfer and store reagents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5.1</w:t>
            </w:r>
            <w:r w:rsidRPr="00283B2E">
              <w:tab/>
              <w:t>Transfer reagents</w:t>
            </w:r>
          </w:p>
          <w:p w:rsidR="00000000" w:rsidRPr="00283B2E" w:rsidP="00283B2E">
            <w:pPr>
              <w:pStyle w:val="BodyText"/>
            </w:pPr>
            <w:r w:rsidRPr="00283B2E">
              <w:t>5.2.</w:t>
            </w:r>
            <w:r w:rsidRPr="00283B2E">
              <w:tab/>
              <w:t>Store reagents in approved storage facility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5.3.</w:t>
            </w:r>
            <w:r w:rsidRPr="00283B2E">
              <w:tab/>
              <w:t xml:space="preserve">Confirm sufficient quantities of reagents are maintained 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6.</w:t>
            </w:r>
            <w:r w:rsidRPr="00283B2E">
              <w:tab/>
              <w:t>Shutdown in</w:t>
            </w:r>
            <w:r w:rsidRPr="00283B2E">
              <w:t xml:space="preserve">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6.1.</w:t>
            </w:r>
            <w:r w:rsidRPr="00283B2E">
              <w:tab/>
              <w:t>Shutdown or isolate equipment in sequence</w:t>
            </w:r>
          </w:p>
          <w:p w:rsidR="00000000" w:rsidRPr="00283B2E" w:rsidP="00283B2E">
            <w:pPr>
              <w:pStyle w:val="BodyText"/>
            </w:pPr>
            <w:r w:rsidRPr="00283B2E">
              <w:t>6.2.</w:t>
            </w:r>
            <w:r w:rsidRPr="00283B2E">
              <w:tab/>
              <w:t>Perform post shutdown or isolation checks</w:t>
            </w:r>
          </w:p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6.3.</w:t>
            </w:r>
            <w:r w:rsidRPr="00283B2E">
              <w:tab/>
              <w:t>Communicate end of shift information verbally or in writing to oncoming shift</w:t>
            </w:r>
          </w:p>
        </w:tc>
      </w:tr>
      <w:tr w:rsidTr="00283B2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2E">
            <w:pPr>
              <w:pStyle w:val="BodyText"/>
              <w:rPr>
                <w:lang w:val="en-NZ"/>
              </w:rPr>
            </w:pPr>
            <w:r w:rsidRPr="00283B2E">
              <w:t>7.</w:t>
            </w:r>
            <w:r w:rsidRPr="00283B2E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2E" w:rsidP="00283B2E">
            <w:pPr>
              <w:pStyle w:val="BodyText"/>
            </w:pPr>
            <w:r w:rsidRPr="00283B2E">
              <w:t>7.1.</w:t>
            </w:r>
            <w:r w:rsidRPr="00283B2E">
              <w:tab/>
              <w:t>Cle</w:t>
            </w:r>
            <w:r w:rsidRPr="00283B2E">
              <w:t>an and check tools and equipment</w:t>
            </w:r>
          </w:p>
          <w:p w:rsidR="00000000" w:rsidRPr="00283B2E" w:rsidP="00283B2E">
            <w:pPr>
              <w:pStyle w:val="BodyText"/>
            </w:pPr>
            <w:r w:rsidRPr="00283B2E">
              <w:t>7.2.</w:t>
            </w:r>
            <w:r w:rsidRPr="00283B2E">
              <w:tab/>
              <w:t xml:space="preserve">Maintain and store tools and equipment </w:t>
            </w:r>
          </w:p>
        </w:tc>
      </w:tr>
    </w:tbl>
    <w:p w:rsidR="00000000" w:rsidRPr="00283B2E" w:rsidP="00283B2E">
      <w:pPr>
        <w:pStyle w:val="BodyText"/>
      </w:pPr>
    </w:p>
    <w:p w:rsidR="00000000" w:rsidRPr="00283B2E" w:rsidP="00283B2E">
      <w:pPr>
        <w:pStyle w:val="AllowPageBreak"/>
      </w:pPr>
    </w:p>
    <w:p w:rsidR="00000000" w:rsidRPr="00283B2E" w:rsidP="00283B2E">
      <w:pPr>
        <w:pStyle w:val="Heading1"/>
      </w:pPr>
      <w:bookmarkStart w:id="5" w:name="O_687327"/>
      <w:bookmarkEnd w:id="5"/>
      <w:r w:rsidRPr="00283B2E">
        <w:t>Foundation Skills</w:t>
      </w:r>
    </w:p>
    <w:p w:rsidR="00000000" w:rsidRPr="00283B2E" w:rsidP="009A3DD0">
      <w:pPr>
        <w:pStyle w:val="BodyText"/>
      </w:pPr>
      <w:r w:rsidRPr="00283B2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83B2E" w:rsidP="00283B2E">
      <w:pPr>
        <w:pStyle w:val="Heading1"/>
      </w:pPr>
      <w:bookmarkStart w:id="6" w:name="O_687326"/>
      <w:bookmarkEnd w:id="6"/>
      <w:r w:rsidRPr="00283B2E">
        <w:t>Unit Mapping Information</w:t>
      </w:r>
    </w:p>
    <w:p w:rsidR="00000000" w:rsidRPr="00283B2E" w:rsidP="009A3DD0">
      <w:pPr>
        <w:pStyle w:val="BodyText"/>
      </w:pPr>
      <w:r w:rsidRPr="00283B2E">
        <w:t>RII</w:t>
      </w:r>
      <w:r w:rsidRPr="00283B2E">
        <w:t>PGP202A Handle reagents</w:t>
      </w:r>
    </w:p>
    <w:p w:rsidR="00000000" w:rsidRPr="00283B2E" w:rsidP="00283B2E">
      <w:pPr>
        <w:pStyle w:val="Heading1"/>
      </w:pPr>
      <w:bookmarkStart w:id="7" w:name="O_687339"/>
      <w:bookmarkEnd w:id="7"/>
      <w:r w:rsidRPr="00283B2E">
        <w:t>Links</w:t>
      </w:r>
    </w:p>
    <w:p w:rsidR="00000000" w:rsidRPr="00283B2E" w:rsidP="009A3DD0">
      <w:pPr>
        <w:pStyle w:val="BodyText"/>
      </w:pPr>
      <w:r w:rsidRPr="00283B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7E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3B2E" w:rsidP="00283B2E"/>
    <w:sectPr w:rsidSect="00283B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2E" w:rsidRPr="009A3DD0" w:rsidP="009A3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D0" w:rsidP="00283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DD0" w:rsidP="00283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3DD0" w:rsidP="00283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B2E" w:rsidRPr="009A3DD0" w:rsidP="009A3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DD0" w:rsidRPr="002D2AF8" w:rsidP="00283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RIIPGP202D Handle reagents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3DD0" w:rsidP="00283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B2E"/>
  </w:style>
  <w:style w:type="character" w:customStyle="1" w:styleId="Heading1Char">
    <w:name w:val="Heading 1 Char"/>
    <w:basedOn w:val="DefaultParagraphFont"/>
    <w:link w:val="Heading1"/>
    <w:rsid w:val="00283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B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83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B2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83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B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B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3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B2E"/>
    <w:rPr>
      <w:b/>
      <w:spacing w:val="0"/>
    </w:rPr>
  </w:style>
  <w:style w:type="paragraph" w:customStyle="1" w:styleId="SuperTitle">
    <w:name w:val="SuperTitle"/>
    <w:basedOn w:val="Title"/>
    <w:rsid w:val="00283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B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B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B2E"/>
    <w:rPr>
      <w:i/>
    </w:rPr>
  </w:style>
  <w:style w:type="paragraph" w:styleId="Caption">
    <w:name w:val="caption"/>
    <w:basedOn w:val="BodyText"/>
    <w:next w:val="Normal"/>
    <w:qFormat/>
    <w:rsid w:val="00283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B2E"/>
  </w:style>
  <w:style w:type="paragraph" w:styleId="TableofFigures">
    <w:name w:val="table of figures"/>
    <w:basedOn w:val="Normal"/>
    <w:next w:val="Normal"/>
    <w:semiHidden/>
    <w:rsid w:val="00283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B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3B2E"/>
    <w:rPr>
      <w:rFonts w:ascii="Wingdings" w:hAnsi="Wingdings"/>
    </w:rPr>
  </w:style>
  <w:style w:type="paragraph" w:customStyle="1" w:styleId="TableHeading">
    <w:name w:val="Table Heading"/>
    <w:basedOn w:val="HeadingBase"/>
    <w:rsid w:val="00283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B2E"/>
    <w:rPr>
      <w:color w:val="0033CC"/>
      <w:u w:val="none"/>
    </w:rPr>
  </w:style>
  <w:style w:type="paragraph" w:customStyle="1" w:styleId="BodyTextRight">
    <w:name w:val="Body Text Right"/>
    <w:basedOn w:val="BodyText"/>
    <w:rsid w:val="00283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B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B2E"/>
    <w:rPr>
      <w:sz w:val="32"/>
    </w:rPr>
  </w:style>
  <w:style w:type="paragraph" w:customStyle="1" w:styleId="HeadingProcedure">
    <w:name w:val="Heading Procedure"/>
    <w:basedOn w:val="HeadingBase"/>
    <w:next w:val="Normal"/>
    <w:rsid w:val="00283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B2E"/>
    <w:pPr>
      <w:spacing w:before="60" w:after="60"/>
    </w:pPr>
  </w:style>
  <w:style w:type="paragraph" w:styleId="ListContinue">
    <w:name w:val="List Continue"/>
    <w:basedOn w:val="List"/>
    <w:rsid w:val="00283B2E"/>
    <w:pPr>
      <w:ind w:firstLine="0"/>
    </w:pPr>
  </w:style>
  <w:style w:type="paragraph" w:customStyle="1" w:styleId="ListNote">
    <w:name w:val="List Note"/>
    <w:basedOn w:val="List"/>
    <w:rsid w:val="00283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B2E"/>
    <w:rPr>
      <w:rFonts w:ascii="Courier New" w:hAnsi="Courier New"/>
    </w:rPr>
  </w:style>
  <w:style w:type="paragraph" w:customStyle="1" w:styleId="NoteBullet">
    <w:name w:val="Note Bullet"/>
    <w:basedOn w:val="Note"/>
    <w:rsid w:val="00283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B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3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B2E"/>
    <w:rPr>
      <w:b/>
      <w:smallCaps/>
    </w:rPr>
  </w:style>
  <w:style w:type="paragraph" w:customStyle="1" w:styleId="TableListNumber">
    <w:name w:val="Table List Number"/>
    <w:basedOn w:val="ListNumber"/>
    <w:rsid w:val="00283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B2E"/>
    <w:pPr>
      <w:numPr>
        <w:numId w:val="7"/>
      </w:numPr>
    </w:pPr>
  </w:style>
  <w:style w:type="paragraph" w:customStyle="1" w:styleId="ListAlpha2">
    <w:name w:val="List Alpha 2"/>
    <w:basedOn w:val="List2"/>
    <w:rsid w:val="00283B2E"/>
    <w:pPr>
      <w:numPr>
        <w:numId w:val="6"/>
      </w:numPr>
    </w:pPr>
  </w:style>
  <w:style w:type="paragraph" w:styleId="List2">
    <w:name w:val="List 2"/>
    <w:basedOn w:val="BodyText"/>
    <w:rsid w:val="00283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B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B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3B2E"/>
    <w:pPr>
      <w:numPr>
        <w:numId w:val="2"/>
      </w:numPr>
    </w:pPr>
  </w:style>
  <w:style w:type="paragraph" w:styleId="ListContinue2">
    <w:name w:val="List Continue 2"/>
    <w:basedOn w:val="List2"/>
    <w:rsid w:val="00283B2E"/>
    <w:pPr>
      <w:ind w:firstLine="0"/>
    </w:pPr>
  </w:style>
  <w:style w:type="paragraph" w:styleId="ListContinue3">
    <w:name w:val="List Continue 3"/>
    <w:basedOn w:val="List3"/>
    <w:rsid w:val="00283B2E"/>
    <w:pPr>
      <w:ind w:left="1021" w:firstLine="0"/>
    </w:pPr>
  </w:style>
  <w:style w:type="paragraph" w:styleId="ListContinue4">
    <w:name w:val="List Continue 4"/>
    <w:basedOn w:val="List4"/>
    <w:rsid w:val="00283B2E"/>
    <w:pPr>
      <w:ind w:firstLine="0"/>
    </w:pPr>
  </w:style>
  <w:style w:type="paragraph" w:styleId="ListContinue5">
    <w:name w:val="List Continue 5"/>
    <w:basedOn w:val="List5"/>
    <w:rsid w:val="00283B2E"/>
    <w:pPr>
      <w:ind w:firstLine="0"/>
    </w:pPr>
  </w:style>
  <w:style w:type="paragraph" w:styleId="ListNumber3">
    <w:name w:val="List Number 3"/>
    <w:basedOn w:val="List3"/>
    <w:rsid w:val="00283B2E"/>
    <w:pPr>
      <w:numPr>
        <w:numId w:val="3"/>
      </w:numPr>
    </w:pPr>
  </w:style>
  <w:style w:type="paragraph" w:styleId="ListNumber4">
    <w:name w:val="List Number 4"/>
    <w:basedOn w:val="List4"/>
    <w:rsid w:val="00283B2E"/>
    <w:pPr>
      <w:numPr>
        <w:numId w:val="4"/>
      </w:numPr>
    </w:pPr>
  </w:style>
  <w:style w:type="paragraph" w:styleId="ListNumber5">
    <w:name w:val="List Number 5"/>
    <w:basedOn w:val="List5"/>
    <w:rsid w:val="00283B2E"/>
    <w:pPr>
      <w:numPr>
        <w:numId w:val="5"/>
      </w:numPr>
    </w:pPr>
  </w:style>
  <w:style w:type="paragraph" w:styleId="BlockText">
    <w:name w:val="Block Text"/>
    <w:basedOn w:val="Normal"/>
    <w:rsid w:val="00283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B2E"/>
    <w:rPr>
      <w:sz w:val="16"/>
      <w:vertAlign w:val="superscript"/>
    </w:rPr>
  </w:style>
  <w:style w:type="character" w:customStyle="1" w:styleId="Symbols">
    <w:name w:val="Symbols"/>
    <w:basedOn w:val="DefaultParagraphFont"/>
    <w:rsid w:val="00283B2E"/>
    <w:rPr>
      <w:rFonts w:ascii="Symbol" w:hAnsi="Symbol"/>
    </w:rPr>
  </w:style>
  <w:style w:type="character" w:customStyle="1" w:styleId="MenuOptions">
    <w:name w:val="Menu Options"/>
    <w:basedOn w:val="DefaultParagraphFont"/>
    <w:rsid w:val="00283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B2E"/>
    <w:rPr>
      <w:b/>
    </w:rPr>
  </w:style>
  <w:style w:type="character" w:customStyle="1" w:styleId="Underlined">
    <w:name w:val="Underlined"/>
    <w:basedOn w:val="DefaultParagraphFont"/>
    <w:rsid w:val="00283B2E"/>
    <w:rPr>
      <w:u w:val="single"/>
    </w:rPr>
  </w:style>
  <w:style w:type="paragraph" w:customStyle="1" w:styleId="TableBodyTextRight">
    <w:name w:val="Table Body Text Right"/>
    <w:basedOn w:val="TableBodyText"/>
    <w:rsid w:val="00283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B2E"/>
    <w:rPr>
      <w:sz w:val="18"/>
    </w:rPr>
  </w:style>
  <w:style w:type="paragraph" w:customStyle="1" w:styleId="BodySmallRight">
    <w:name w:val="Body Small Right"/>
    <w:basedOn w:val="BodyTextRight"/>
    <w:rsid w:val="00283B2E"/>
    <w:rPr>
      <w:sz w:val="18"/>
      <w:szCs w:val="18"/>
    </w:rPr>
  </w:style>
  <w:style w:type="paragraph" w:customStyle="1" w:styleId="MarginEdition">
    <w:name w:val="Margin Edition"/>
    <w:basedOn w:val="MarginNote"/>
    <w:rsid w:val="00283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B2E"/>
    <w:rPr>
      <w:sz w:val="2"/>
      <w:szCs w:val="2"/>
    </w:rPr>
  </w:style>
  <w:style w:type="character" w:customStyle="1" w:styleId="Small">
    <w:name w:val="Small"/>
    <w:basedOn w:val="DefaultParagraphFont"/>
    <w:rsid w:val="00283B2E"/>
    <w:rPr>
      <w:sz w:val="16"/>
    </w:rPr>
  </w:style>
  <w:style w:type="paragraph" w:customStyle="1" w:styleId="WideTable">
    <w:name w:val="Wide Table"/>
    <w:basedOn w:val="Normal"/>
    <w:rsid w:val="00283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B2E"/>
  </w:style>
  <w:style w:type="paragraph" w:styleId="Quote">
    <w:name w:val="Quote"/>
    <w:basedOn w:val="Heading1"/>
    <w:link w:val="QuoteChar"/>
    <w:qFormat/>
    <w:rsid w:val="00283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B2E"/>
    <w:pPr>
      <w:pageBreakBefore/>
    </w:pPr>
  </w:style>
  <w:style w:type="paragraph" w:customStyle="1" w:styleId="Border">
    <w:name w:val="Border"/>
    <w:basedOn w:val="Normal"/>
    <w:qFormat/>
    <w:rsid w:val="00283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B2E"/>
    <w:rPr>
      <w:u w:val="single"/>
    </w:rPr>
  </w:style>
  <w:style w:type="character" w:customStyle="1" w:styleId="BoldandItalics">
    <w:name w:val="Bold and Italics"/>
    <w:qFormat/>
    <w:rsid w:val="00283B2E"/>
    <w:rPr>
      <w:b/>
      <w:i/>
      <w:u w:val="none"/>
    </w:rPr>
  </w:style>
  <w:style w:type="paragraph" w:styleId="BalloonText">
    <w:name w:val="Balloon Text"/>
    <w:basedOn w:val="Normal"/>
    <w:link w:val="BalloonTextChar"/>
    <w:rsid w:val="00283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B2E"/>
    <w:pPr>
      <w:spacing w:before="0" w:after="0"/>
    </w:pPr>
  </w:style>
  <w:style w:type="paragraph" w:customStyle="1" w:styleId="BodyTextBold">
    <w:name w:val="Body Text Bold"/>
    <w:basedOn w:val="BodyText"/>
    <w:qFormat/>
    <w:rsid w:val="00283B2E"/>
    <w:rPr>
      <w:b/>
    </w:rPr>
  </w:style>
  <w:style w:type="character" w:styleId="Hyperlink">
    <w:name w:val="Hyperlink"/>
    <w:basedOn w:val="DefaultParagraphFont"/>
    <w:uiPriority w:val="99"/>
    <w:unhideWhenUsed/>
    <w:rsid w:val="009A3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2953</Characters>
  <Application>Microsoft Office Word</Application>
  <DocSecurity>0</DocSecurity>
  <Lines>98</Lines>
  <Paragraphs>68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RIIPGP202D Handle reagents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