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7F1" w:rsidP="00EB27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RIIPGP201D Conduct pump operations</w:t>
      </w:r>
      <w:r>
        <w:fldChar w:fldCharType="end"/>
      </w:r>
    </w:p>
    <w:p w:rsidR="00EB27F1" w:rsidP="00EB27F1">
      <w:pPr>
        <w:pStyle w:val="Version"/>
        <w:sectPr w:rsidSect="003720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203B" w:rsidP="0037203B">
      <w:pPr>
        <w:pStyle w:val="SuperHeading"/>
      </w:pPr>
      <w:r w:rsidRPr="0037203B">
        <w:t>Assessment Requirements for RIIPGP201D Conduct pump operations</w:t>
      </w:r>
    </w:p>
    <w:p w:rsidR="00000000" w:rsidRPr="0037203B" w:rsidP="0037203B">
      <w:pPr>
        <w:pStyle w:val="Heading1"/>
      </w:pPr>
      <w:bookmarkStart w:id="1" w:name="O_687288"/>
      <w:bookmarkEnd w:id="1"/>
      <w:r w:rsidRPr="0037203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B27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3B">
            <w:pPr>
              <w:pStyle w:val="Heading4"/>
              <w:rPr>
                <w:lang w:val="en-NZ"/>
              </w:rPr>
            </w:pPr>
            <w:r w:rsidRPr="0037203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3B">
            <w:pPr>
              <w:pStyle w:val="Heading4"/>
              <w:rPr>
                <w:lang w:val="en-NZ"/>
              </w:rPr>
            </w:pPr>
            <w:r w:rsidRPr="0037203B">
              <w:t>Comment</w:t>
            </w:r>
          </w:p>
        </w:tc>
      </w:tr>
      <w:tr w:rsidTr="00EB27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3B">
            <w:pPr>
              <w:pStyle w:val="BodyText"/>
              <w:rPr>
                <w:lang w:val="en-NZ"/>
              </w:rPr>
            </w:pPr>
            <w:r w:rsidRPr="0037203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3B">
            <w:pPr>
              <w:pStyle w:val="BodyText"/>
              <w:rPr>
                <w:lang w:val="en-NZ"/>
              </w:rPr>
            </w:pPr>
            <w:r w:rsidRPr="0037203B">
              <w:t>This unit replaces RIIPGP201A Conduct pump operations</w:t>
            </w:r>
          </w:p>
        </w:tc>
      </w:tr>
      <w:tr w:rsidTr="00EB27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03B">
            <w:pPr>
              <w:pStyle w:val="BodyText"/>
              <w:rPr>
                <w:lang w:val="en-NZ"/>
              </w:rPr>
            </w:pPr>
            <w:r w:rsidRPr="0037203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03B" w:rsidP="0037203B">
            <w:pPr>
              <w:pStyle w:val="BodyText"/>
            </w:pPr>
            <w:r w:rsidRPr="0037203B">
              <w:t>Required frequency and volume of evidence amended in Performance evidence.</w:t>
            </w:r>
          </w:p>
          <w:p w:rsidR="00000000" w:rsidRPr="0037203B" w:rsidP="0037203B">
            <w:pPr>
              <w:pStyle w:val="BodyText"/>
            </w:pPr>
            <w:r w:rsidRPr="0037203B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7203B" w:rsidP="0037203B">
      <w:pPr>
        <w:pStyle w:val="BodyText"/>
      </w:pPr>
    </w:p>
    <w:p w:rsidR="00000000" w:rsidRPr="0037203B" w:rsidP="0037203B">
      <w:pPr>
        <w:pStyle w:val="AllowPageBreak"/>
      </w:pPr>
    </w:p>
    <w:p w:rsidR="00000000" w:rsidRPr="0037203B" w:rsidP="0037203B">
      <w:pPr>
        <w:pStyle w:val="Heading1"/>
      </w:pPr>
      <w:bookmarkStart w:id="2" w:name="O_687287"/>
      <w:bookmarkEnd w:id="2"/>
      <w:r w:rsidRPr="0037203B">
        <w:t>Performance</w:t>
      </w:r>
      <w:r w:rsidRPr="0037203B">
        <w:t xml:space="preserve"> Evidence</w:t>
      </w:r>
    </w:p>
    <w:p w:rsidR="00000000" w:rsidRPr="0037203B" w:rsidP="00EB27F1">
      <w:pPr>
        <w:pStyle w:val="BodyText"/>
      </w:pPr>
      <w:r w:rsidRPr="0037203B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37203B">
        <w:t xml:space="preserve"> and include evidence that the candidate:</w:t>
      </w:r>
    </w:p>
    <w:p w:rsidR="00000000" w:rsidRPr="0037203B" w:rsidP="0037203B">
      <w:pPr>
        <w:pStyle w:val="ListBullet"/>
      </w:pPr>
      <w:r w:rsidRPr="0037203B">
        <w:t>locates and applies applicable legislation, documentation, policies and procedures</w:t>
      </w:r>
    </w:p>
    <w:p w:rsidR="00000000" w:rsidRPr="0037203B" w:rsidP="0037203B">
      <w:pPr>
        <w:pStyle w:val="ListBullet"/>
      </w:pPr>
      <w:r w:rsidRPr="0037203B">
        <w:t>implements requirements, procedures and techniques for safe, effective pump operations including:</w:t>
      </w:r>
    </w:p>
    <w:p w:rsidR="00000000" w:rsidRPr="0037203B" w:rsidP="0037203B">
      <w:pPr>
        <w:pStyle w:val="ListBullet2"/>
      </w:pPr>
      <w:r w:rsidRPr="0037203B">
        <w:t>selecting and using the required hand and power tools</w:t>
      </w:r>
    </w:p>
    <w:p w:rsidR="00000000" w:rsidRPr="0037203B" w:rsidP="0037203B">
      <w:pPr>
        <w:pStyle w:val="ListBullet2"/>
      </w:pPr>
      <w:r w:rsidRPr="0037203B">
        <w:t>identify and handle hazardous goods</w:t>
      </w:r>
    </w:p>
    <w:p w:rsidR="00000000" w:rsidRPr="0037203B" w:rsidP="0037203B">
      <w:pPr>
        <w:pStyle w:val="ListBullet2"/>
      </w:pPr>
      <w:r w:rsidRPr="0037203B">
        <w:t xml:space="preserve">maintain, clean and operate equipment </w:t>
      </w:r>
    </w:p>
    <w:p w:rsidR="00000000" w:rsidRPr="0037203B" w:rsidP="0037203B">
      <w:pPr>
        <w:pStyle w:val="ListBullet2"/>
      </w:pPr>
      <w:r w:rsidRPr="0037203B">
        <w:t>identifying potential risks and hazards</w:t>
      </w:r>
    </w:p>
    <w:p w:rsidR="00000000" w:rsidRPr="0037203B" w:rsidP="0037203B">
      <w:pPr>
        <w:pStyle w:val="ListBullet"/>
      </w:pPr>
      <w:r w:rsidRPr="0037203B">
        <w:t>works with others to undertake and complete pump operations that meets all of the requ</w:t>
      </w:r>
      <w:r w:rsidRPr="0037203B">
        <w:t xml:space="preserve">ired outcomes including: </w:t>
      </w:r>
    </w:p>
    <w:p w:rsidR="00000000" w:rsidRPr="0037203B" w:rsidP="0037203B">
      <w:pPr>
        <w:pStyle w:val="ListBullet2"/>
      </w:pPr>
      <w:r w:rsidRPr="0037203B">
        <w:t>using a range of communications techniques and equipment to convey information to others</w:t>
      </w:r>
    </w:p>
    <w:p w:rsidR="00000000" w:rsidRPr="0037203B" w:rsidP="0037203B">
      <w:pPr>
        <w:pStyle w:val="ListBullet2"/>
      </w:pPr>
      <w:r w:rsidRPr="0037203B">
        <w:t>maintaining written and verbal reporting requirements and procedures</w:t>
      </w:r>
    </w:p>
    <w:p w:rsidR="00000000" w:rsidRPr="0037203B" w:rsidP="0037203B">
      <w:pPr>
        <w:pStyle w:val="ListBullet2"/>
      </w:pPr>
      <w:r w:rsidRPr="0037203B">
        <w:t>communicating to confirm work/plans/specifications</w:t>
      </w:r>
    </w:p>
    <w:p w:rsidR="00000000" w:rsidRPr="0037203B" w:rsidP="0037203B">
      <w:pPr>
        <w:pStyle w:val="ListBullet"/>
      </w:pPr>
      <w:r w:rsidRPr="0037203B">
        <w:t>demonstrates comple</w:t>
      </w:r>
      <w:r w:rsidRPr="0037203B">
        <w:t>tion of pump operations that safely, effectively and efficiently meets all of the required outcomes on more than one (1) occasion including:</w:t>
      </w:r>
    </w:p>
    <w:p w:rsidR="00000000" w:rsidRPr="0037203B" w:rsidP="0037203B">
      <w:pPr>
        <w:pStyle w:val="ListBullet2"/>
      </w:pPr>
      <w:r w:rsidRPr="0037203B">
        <w:t>performing pump start up procedure</w:t>
      </w:r>
    </w:p>
    <w:p w:rsidR="00000000" w:rsidRPr="0037203B" w:rsidP="0037203B">
      <w:pPr>
        <w:pStyle w:val="ListBullet2"/>
      </w:pPr>
      <w:r w:rsidRPr="0037203B">
        <w:t xml:space="preserve">pumping material and operating equipment for optimum efficiency </w:t>
      </w:r>
    </w:p>
    <w:p w:rsidR="00000000" w:rsidRPr="0037203B" w:rsidP="0037203B">
      <w:pPr>
        <w:pStyle w:val="ListBullet2"/>
      </w:pPr>
      <w:r w:rsidRPr="0037203B">
        <w:t>monitoring equ</w:t>
      </w:r>
      <w:r w:rsidRPr="0037203B">
        <w:t>ipment and operations</w:t>
      </w:r>
    </w:p>
    <w:p w:rsidR="00000000" w:rsidRPr="0037203B" w:rsidP="0037203B">
      <w:pPr>
        <w:pStyle w:val="ListBullet2"/>
      </w:pPr>
      <w:r w:rsidRPr="0037203B">
        <w:t>performing pump shutdown procedure</w:t>
      </w:r>
    </w:p>
    <w:p w:rsidR="00000000" w:rsidRPr="0037203B" w:rsidP="0037203B">
      <w:pPr>
        <w:pStyle w:val="ListBullet2"/>
      </w:pPr>
      <w:r w:rsidRPr="0037203B">
        <w:t>applying visual inspection and fault finding techniques</w:t>
      </w:r>
    </w:p>
    <w:p w:rsidR="00000000" w:rsidRPr="0037203B" w:rsidP="0037203B">
      <w:pPr>
        <w:pStyle w:val="ListBullet2"/>
      </w:pPr>
      <w:r w:rsidRPr="0037203B">
        <w:t>conducting operational servicing</w:t>
      </w:r>
    </w:p>
    <w:p w:rsidR="00000000" w:rsidRPr="0037203B" w:rsidP="0037203B">
      <w:pPr>
        <w:pStyle w:val="AllowPageBreak"/>
      </w:pPr>
    </w:p>
    <w:p w:rsidR="00000000" w:rsidRPr="0037203B" w:rsidP="0037203B">
      <w:pPr>
        <w:pStyle w:val="Heading1"/>
      </w:pPr>
      <w:bookmarkStart w:id="3" w:name="O_687286"/>
      <w:bookmarkEnd w:id="3"/>
      <w:r w:rsidRPr="0037203B">
        <w:t>Knowledge Evidence</w:t>
      </w:r>
    </w:p>
    <w:p w:rsidR="00000000" w:rsidRPr="0037203B" w:rsidP="00EB27F1">
      <w:pPr>
        <w:pStyle w:val="BodyText"/>
      </w:pPr>
      <w:r w:rsidRPr="0037203B">
        <w:t xml:space="preserve">The candidate must demonstrate knowledge of pump operations through: </w:t>
      </w:r>
    </w:p>
    <w:p w:rsidR="00000000" w:rsidRPr="0037203B" w:rsidP="0037203B">
      <w:pPr>
        <w:pStyle w:val="ListBullet"/>
      </w:pPr>
      <w:r w:rsidRPr="0037203B">
        <w:t>applying legislative, organisation and site requirements and procedures for:</w:t>
      </w:r>
    </w:p>
    <w:p w:rsidR="00000000" w:rsidRPr="0037203B" w:rsidP="0037203B">
      <w:pPr>
        <w:pStyle w:val="ListBullet2"/>
      </w:pPr>
      <w:r w:rsidRPr="0037203B">
        <w:t>risk assessment and management</w:t>
      </w:r>
    </w:p>
    <w:p w:rsidR="00000000" w:rsidRPr="0037203B" w:rsidP="0037203B">
      <w:pPr>
        <w:pStyle w:val="ListBullet2"/>
      </w:pPr>
      <w:r w:rsidRPr="0037203B">
        <w:t>statutory compliance</w:t>
      </w:r>
    </w:p>
    <w:p w:rsidR="00000000" w:rsidRPr="0037203B" w:rsidP="0037203B">
      <w:pPr>
        <w:pStyle w:val="ListBullet2"/>
      </w:pPr>
      <w:r w:rsidRPr="0037203B">
        <w:t xml:space="preserve">work health and safety </w:t>
      </w:r>
    </w:p>
    <w:p w:rsidR="00000000" w:rsidRPr="0037203B" w:rsidP="0037203B">
      <w:pPr>
        <w:pStyle w:val="ListBullet"/>
      </w:pPr>
      <w:r w:rsidRPr="0037203B">
        <w:t xml:space="preserve">maintain, clean and operate equipment </w:t>
      </w:r>
    </w:p>
    <w:p w:rsidR="00000000" w:rsidRPr="0037203B" w:rsidP="0037203B">
      <w:pPr>
        <w:pStyle w:val="ListBullet"/>
      </w:pPr>
      <w:r w:rsidRPr="0037203B">
        <w:t xml:space="preserve">identifying and handling hazardous goods </w:t>
      </w:r>
    </w:p>
    <w:p w:rsidR="00000000" w:rsidRPr="0037203B" w:rsidP="0037203B">
      <w:pPr>
        <w:pStyle w:val="ListBullet"/>
      </w:pPr>
      <w:r w:rsidRPr="0037203B">
        <w:t>maintaining records</w:t>
      </w:r>
    </w:p>
    <w:p w:rsidR="00000000" w:rsidRPr="0037203B" w:rsidP="0037203B">
      <w:pPr>
        <w:pStyle w:val="ListBullet"/>
      </w:pPr>
      <w:r w:rsidRPr="0037203B">
        <w:t xml:space="preserve">monitoring operations and conducting fault finding </w:t>
      </w:r>
    </w:p>
    <w:p w:rsidR="00000000" w:rsidRPr="0037203B" w:rsidP="0037203B">
      <w:pPr>
        <w:pStyle w:val="ListBullet"/>
      </w:pPr>
      <w:r w:rsidRPr="0037203B">
        <w:t xml:space="preserve">identifying site and equipment’s safety requirements </w:t>
      </w:r>
    </w:p>
    <w:p w:rsidR="00000000" w:rsidRPr="0037203B" w:rsidP="0037203B">
      <w:pPr>
        <w:pStyle w:val="ListBullet"/>
      </w:pPr>
      <w:r w:rsidRPr="0037203B">
        <w:t>identifying communications equipment</w:t>
      </w:r>
    </w:p>
    <w:p w:rsidR="00000000" w:rsidRPr="0037203B" w:rsidP="0037203B">
      <w:pPr>
        <w:pStyle w:val="ListBullet"/>
      </w:pPr>
      <w:r w:rsidRPr="0037203B">
        <w:t xml:space="preserve">being prepared for emergency/fire and accidents </w:t>
      </w:r>
    </w:p>
    <w:p w:rsidR="00000000" w:rsidRPr="0037203B" w:rsidP="0037203B">
      <w:pPr>
        <w:pStyle w:val="ListBullet"/>
      </w:pPr>
      <w:r w:rsidRPr="0037203B">
        <w:t>complying with environmental principles</w:t>
      </w:r>
    </w:p>
    <w:p w:rsidR="00000000" w:rsidRPr="0037203B" w:rsidP="0037203B">
      <w:pPr>
        <w:pStyle w:val="ListBullet"/>
      </w:pPr>
      <w:r w:rsidRPr="0037203B">
        <w:t>identifying equipment processes, technical capability and limitations</w:t>
      </w:r>
    </w:p>
    <w:p w:rsidR="00000000" w:rsidRPr="0037203B" w:rsidP="0037203B">
      <w:pPr>
        <w:pStyle w:val="ListBullet"/>
      </w:pPr>
      <w:r w:rsidRPr="0037203B">
        <w:t>applying isolation procedures</w:t>
      </w:r>
    </w:p>
    <w:p w:rsidR="00000000" w:rsidRPr="0037203B" w:rsidP="0037203B">
      <w:pPr>
        <w:pStyle w:val="ListBullet"/>
      </w:pPr>
      <w:r w:rsidRPr="0037203B">
        <w:t>applying operational procedures and checks including material under pressure and mine operational system</w:t>
      </w:r>
    </w:p>
    <w:p w:rsidR="00000000" w:rsidRPr="0037203B" w:rsidP="0037203B">
      <w:pPr>
        <w:pStyle w:val="AllowPageBreak"/>
      </w:pPr>
    </w:p>
    <w:p w:rsidR="00000000" w:rsidRPr="0037203B" w:rsidP="0037203B">
      <w:pPr>
        <w:pStyle w:val="Heading1"/>
      </w:pPr>
      <w:bookmarkStart w:id="4" w:name="O_687285"/>
      <w:bookmarkEnd w:id="4"/>
      <w:r w:rsidRPr="0037203B">
        <w:t>Assessment Conditions</w:t>
      </w:r>
    </w:p>
    <w:p w:rsidR="00000000" w:rsidRPr="0037203B" w:rsidP="0037203B">
      <w:pPr>
        <w:pStyle w:val="ListBullet"/>
      </w:pPr>
      <w:r w:rsidRPr="0037203B">
        <w:t>An assessor</w:t>
      </w:r>
      <w:r w:rsidRPr="0037203B">
        <w:t xml:space="preserve"> of this unit must satisfy the requirements of the NVR/AQTF or their successors; and Industry regulations for certification and licensing. </w:t>
      </w:r>
    </w:p>
    <w:p w:rsidR="00000000" w:rsidRPr="0037203B" w:rsidP="0037203B">
      <w:pPr>
        <w:pStyle w:val="ListBullet"/>
      </w:pPr>
      <w:r w:rsidRPr="0037203B">
        <w:t xml:space="preserve">An assessor must demonstrate the skills and knowledge of this unit through five (5) years of current and continuous </w:t>
      </w:r>
      <w:r w:rsidRPr="0037203B">
        <w:t xml:space="preserve">work in the Industry sector, with the preceding two (2) years in the field of the unit they are assessing. </w:t>
      </w:r>
    </w:p>
    <w:p w:rsidR="00000000" w:rsidRPr="0037203B" w:rsidP="0037203B">
      <w:pPr>
        <w:pStyle w:val="ListBullet"/>
      </w:pPr>
      <w:r w:rsidRPr="0037203B">
        <w:t>This unit must be assessed in the context of this sector’s work environment.</w:t>
      </w:r>
    </w:p>
    <w:p w:rsidR="00000000" w:rsidRPr="0037203B" w:rsidP="0037203B">
      <w:pPr>
        <w:pStyle w:val="ListBullet"/>
      </w:pPr>
      <w:r w:rsidRPr="0037203B">
        <w:t>this unit must be assessed in compliance with relevant legislation/regu</w:t>
      </w:r>
      <w:r w:rsidRPr="0037203B">
        <w:t>lation and using policies, procedures, processes and operational manuals directly related to the industry sector for which it is being assessed; and,</w:t>
      </w:r>
    </w:p>
    <w:p w:rsidR="00000000" w:rsidRPr="0037203B" w:rsidP="0037203B">
      <w:pPr>
        <w:pStyle w:val="ListBullet"/>
      </w:pPr>
      <w:r w:rsidRPr="0037203B">
        <w:t>assessment may be conducted in conjunction with the assessment of other Units of Competency; and,</w:t>
      </w:r>
    </w:p>
    <w:p w:rsidR="00000000" w:rsidRPr="0037203B" w:rsidP="0037203B">
      <w:pPr>
        <w:pStyle w:val="ListBullet"/>
      </w:pPr>
      <w:r w:rsidRPr="0037203B">
        <w:t>assessme</w:t>
      </w:r>
      <w:r w:rsidRPr="0037203B">
        <w:t>nt must confirm consistent performance can be applied in a range of relevant workplace circumstances; and,</w:t>
      </w:r>
    </w:p>
    <w:p w:rsidR="00000000" w:rsidRPr="0037203B" w:rsidP="0037203B">
      <w:pPr>
        <w:pStyle w:val="ListBullet"/>
      </w:pPr>
      <w:r w:rsidRPr="0037203B">
        <w:t xml:space="preserve">assessors must demonstrate the performance evidence, and knowledge evidence as outlined in this Unit of Competency, and through the minimum years of </w:t>
      </w:r>
      <w:r w:rsidRPr="0037203B">
        <w:t>current* work experience specified below in an Industry sector relevant to the outcomes of the unit; or,</w:t>
      </w:r>
    </w:p>
    <w:p w:rsidR="00000000" w:rsidRPr="0037203B" w:rsidP="0037203B">
      <w:pPr>
        <w:pStyle w:val="ListBullet"/>
      </w:pPr>
      <w:r w:rsidRPr="0037203B">
        <w:t>where the assessor does not meet experience requirements a co-assessment or partnership arrangement must exist between the qualified assessor and an In</w:t>
      </w:r>
      <w:r w:rsidRPr="0037203B">
        <w:t>dustry subject matter expert. The Industry subject matter expert should hold the unit being assessed (or an equivalent unit) and/or demonstrate equivalence of skills and knowledge at the unit level. An Industry technical expert must also demonstrate skills</w:t>
      </w:r>
      <w:r w:rsidRPr="0037203B">
        <w:t xml:space="preserve"> and knowledge from the minimum years of current work experience specified below in the Industry sector, including time spent in roles related to the unit being assessed; and,</w:t>
      </w:r>
    </w:p>
    <w:p w:rsidR="00000000" w:rsidRPr="0037203B" w:rsidP="0037203B">
      <w:pPr>
        <w:pStyle w:val="ListBullet"/>
      </w:pPr>
      <w:r w:rsidRPr="0037203B">
        <w:t>assessor and Industry subject matter expert requirements differ depending on the</w:t>
      </w:r>
      <w:r w:rsidRPr="0037203B">
        <w:t xml:space="preserve">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720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03B">
            <w:pPr>
              <w:pStyle w:val="SubHeading1"/>
              <w:rPr>
                <w:lang w:val="en-NZ"/>
              </w:rPr>
            </w:pPr>
            <w:r w:rsidRPr="0037203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03B">
            <w:pPr>
              <w:pStyle w:val="SubHeading1"/>
              <w:rPr>
                <w:lang w:val="en-NZ"/>
              </w:rPr>
            </w:pPr>
            <w:r w:rsidRPr="0037203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03B">
            <w:pPr>
              <w:pStyle w:val="SubHeading1"/>
              <w:rPr>
                <w:lang w:val="en-NZ"/>
              </w:rPr>
            </w:pPr>
            <w:r w:rsidRPr="0037203B">
              <w:t>Required assessor or Industry subject matter expert experience</w:t>
            </w:r>
          </w:p>
        </w:tc>
      </w:tr>
      <w:tr w:rsidTr="003720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03B">
            <w:pPr>
              <w:pStyle w:val="BodyText"/>
              <w:rPr>
                <w:lang w:val="en-NZ"/>
              </w:rPr>
            </w:pPr>
            <w:r w:rsidRPr="0037203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03B">
            <w:pPr>
              <w:pStyle w:val="BodyText"/>
              <w:rPr>
                <w:lang w:val="en-NZ"/>
              </w:rPr>
            </w:pPr>
            <w:r w:rsidRPr="0037203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03B">
            <w:pPr>
              <w:pStyle w:val="BodyText"/>
              <w:rPr>
                <w:lang w:val="en-NZ"/>
              </w:rPr>
            </w:pPr>
            <w:r w:rsidRPr="0037203B">
              <w:t>1 Year</w:t>
            </w:r>
          </w:p>
        </w:tc>
      </w:tr>
      <w:tr w:rsidTr="003720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03B">
            <w:pPr>
              <w:pStyle w:val="BodyText"/>
              <w:rPr>
                <w:lang w:val="en-NZ"/>
              </w:rPr>
            </w:pPr>
            <w:r w:rsidRPr="0037203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03B">
            <w:pPr>
              <w:pStyle w:val="BodyText"/>
              <w:rPr>
                <w:lang w:val="en-NZ"/>
              </w:rPr>
            </w:pPr>
            <w:r w:rsidRPr="0037203B">
              <w:t>2 Years</w:t>
            </w:r>
          </w:p>
        </w:tc>
      </w:tr>
      <w:tr w:rsidTr="003720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03B">
            <w:pPr>
              <w:pStyle w:val="BodyText"/>
              <w:rPr>
                <w:lang w:val="en-NZ"/>
              </w:rPr>
            </w:pPr>
            <w:r w:rsidRPr="0037203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03B">
            <w:pPr>
              <w:pStyle w:val="BodyText"/>
              <w:rPr>
                <w:lang w:val="en-NZ"/>
              </w:rPr>
            </w:pPr>
            <w:r w:rsidRPr="0037203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03B">
            <w:pPr>
              <w:pStyle w:val="BodyText"/>
              <w:rPr>
                <w:lang w:val="en-NZ"/>
              </w:rPr>
            </w:pPr>
            <w:r w:rsidRPr="0037203B">
              <w:t>3 Years</w:t>
            </w:r>
          </w:p>
        </w:tc>
      </w:tr>
      <w:tr w:rsidTr="003720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03B">
            <w:pPr>
              <w:pStyle w:val="BodyText"/>
              <w:rPr>
                <w:lang w:val="en-NZ"/>
              </w:rPr>
            </w:pPr>
            <w:r w:rsidRPr="0037203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03B">
            <w:pPr>
              <w:pStyle w:val="BodyText"/>
              <w:rPr>
                <w:lang w:val="en-NZ"/>
              </w:rPr>
            </w:pPr>
            <w:r w:rsidRPr="0037203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03B">
            <w:pPr>
              <w:pStyle w:val="BodyText"/>
              <w:rPr>
                <w:lang w:val="en-NZ"/>
              </w:rPr>
            </w:pPr>
            <w:r w:rsidRPr="0037203B">
              <w:t>5 Years</w:t>
            </w:r>
          </w:p>
        </w:tc>
      </w:tr>
      <w:tr w:rsidTr="003720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03B">
            <w:pPr>
              <w:pStyle w:val="BodyText"/>
              <w:rPr>
                <w:lang w:val="en-NZ"/>
              </w:rPr>
            </w:pPr>
            <w:r w:rsidRPr="0037203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203B" w:rsidP="0037203B">
            <w:pPr>
              <w:pStyle w:val="BodyText"/>
            </w:pPr>
            <w:r w:rsidRPr="0037203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7203B">
              <w:t>ndard is specified should comply with any relevant regulation.</w:t>
            </w:r>
          </w:p>
        </w:tc>
      </w:tr>
    </w:tbl>
    <w:p w:rsidR="00000000" w:rsidRPr="0037203B" w:rsidP="00EB27F1">
      <w:pPr>
        <w:pStyle w:val="BodyText"/>
      </w:pPr>
      <w:r w:rsidRPr="0037203B">
        <w:t>*Assessors can demonstrate current work experience through employment within Industry in a role relevant to the outcomes of the Unit; or, for external assessors this can be demonstrated throu</w:t>
      </w:r>
      <w:r w:rsidRPr="0037203B">
        <w:t>gh exposure to Industry by conducting frequent site assessments across various locations.</w:t>
      </w:r>
    </w:p>
    <w:p w:rsidR="00EB27F1" w:rsidP="00EB27F1">
      <w:pPr>
        <w:pStyle w:val="BodyText"/>
      </w:pPr>
      <w:r w:rsidRPr="0037203B">
        <w:t>**Where a unit is being delivered outside of a Qualification the first numeric character in the Unit code should be considered to indicate the AQF level</w:t>
      </w:r>
    </w:p>
    <w:p w:rsidR="00000000" w:rsidRPr="0037203B" w:rsidP="0037203B">
      <w:pPr>
        <w:pStyle w:val="Heading1"/>
      </w:pPr>
      <w:bookmarkStart w:id="5" w:name="O_687303"/>
      <w:bookmarkEnd w:id="5"/>
      <w:r w:rsidRPr="0037203B">
        <w:t>Links</w:t>
      </w:r>
    </w:p>
    <w:p w:rsidR="00000000" w:rsidRPr="0037203B" w:rsidP="00EB27F1">
      <w:pPr>
        <w:pStyle w:val="BodyText"/>
      </w:pPr>
      <w:r w:rsidRPr="003720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A61B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7203B" w:rsidP="0037203B"/>
    <w:sectPr w:rsidSect="003720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3B" w:rsidRPr="00EB27F1" w:rsidP="00EB27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7F1" w:rsidP="00372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27F1" w:rsidP="00372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B27F1" w:rsidP="003720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7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03B" w:rsidRPr="00EB27F1" w:rsidP="00EB27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7F1" w:rsidRPr="002D2AF8" w:rsidP="00372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RIIPGP201D Conduct pump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B27F1" w:rsidP="003720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4436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D8A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3289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0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0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0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0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0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0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0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0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0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0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0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03B"/>
  </w:style>
  <w:style w:type="character" w:customStyle="1" w:styleId="Heading1Char">
    <w:name w:val="Heading 1 Char"/>
    <w:basedOn w:val="DefaultParagraphFont"/>
    <w:link w:val="Heading1"/>
    <w:rsid w:val="003720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03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720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0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20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20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20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0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37203B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3720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0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0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0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0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0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0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0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0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0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0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0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0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20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20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203B"/>
    <w:rPr>
      <w:b/>
      <w:spacing w:val="0"/>
    </w:rPr>
  </w:style>
  <w:style w:type="paragraph" w:customStyle="1" w:styleId="SuperTitle">
    <w:name w:val="SuperTitle"/>
    <w:basedOn w:val="Title"/>
    <w:rsid w:val="003720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0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0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20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0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0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0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0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0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0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0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0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203B"/>
    <w:rPr>
      <w:i/>
    </w:rPr>
  </w:style>
  <w:style w:type="paragraph" w:styleId="Caption">
    <w:name w:val="caption"/>
    <w:basedOn w:val="BodyText"/>
    <w:next w:val="Normal"/>
    <w:qFormat/>
    <w:rsid w:val="003720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0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0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03B"/>
  </w:style>
  <w:style w:type="paragraph" w:styleId="TableofFigures">
    <w:name w:val="table of figures"/>
    <w:basedOn w:val="Normal"/>
    <w:next w:val="Normal"/>
    <w:semiHidden/>
    <w:rsid w:val="003720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0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203B"/>
    <w:rPr>
      <w:rFonts w:ascii="Wingdings" w:hAnsi="Wingdings"/>
    </w:rPr>
  </w:style>
  <w:style w:type="paragraph" w:customStyle="1" w:styleId="TableHeading">
    <w:name w:val="Table Heading"/>
    <w:basedOn w:val="HeadingBase"/>
    <w:rsid w:val="003720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03B"/>
    <w:rPr>
      <w:color w:val="0033CC"/>
      <w:u w:val="none"/>
    </w:rPr>
  </w:style>
  <w:style w:type="paragraph" w:customStyle="1" w:styleId="BodyTextRight">
    <w:name w:val="Body Text Right"/>
    <w:basedOn w:val="BodyText"/>
    <w:rsid w:val="003720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0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0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0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0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0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03B"/>
    <w:rPr>
      <w:sz w:val="32"/>
    </w:rPr>
  </w:style>
  <w:style w:type="paragraph" w:customStyle="1" w:styleId="HeadingProcedure">
    <w:name w:val="Heading Procedure"/>
    <w:basedOn w:val="HeadingBase"/>
    <w:next w:val="Normal"/>
    <w:rsid w:val="003720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03B"/>
    <w:pPr>
      <w:spacing w:before="60" w:after="60"/>
    </w:pPr>
  </w:style>
  <w:style w:type="paragraph" w:styleId="ListContinue">
    <w:name w:val="List Continue"/>
    <w:basedOn w:val="List"/>
    <w:rsid w:val="0037203B"/>
    <w:pPr>
      <w:ind w:firstLine="0"/>
    </w:pPr>
  </w:style>
  <w:style w:type="paragraph" w:customStyle="1" w:styleId="ListNote">
    <w:name w:val="List Note"/>
    <w:basedOn w:val="List"/>
    <w:rsid w:val="003720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0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0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03B"/>
    <w:rPr>
      <w:rFonts w:ascii="Courier New" w:hAnsi="Courier New"/>
    </w:rPr>
  </w:style>
  <w:style w:type="paragraph" w:customStyle="1" w:styleId="NoteBullet">
    <w:name w:val="Note Bullet"/>
    <w:basedOn w:val="Note"/>
    <w:rsid w:val="003720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03B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3720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0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20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0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03B"/>
    <w:rPr>
      <w:b/>
      <w:smallCaps/>
    </w:rPr>
  </w:style>
  <w:style w:type="paragraph" w:customStyle="1" w:styleId="TableListNumber">
    <w:name w:val="Table List Number"/>
    <w:basedOn w:val="ListNumber"/>
    <w:rsid w:val="003720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0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03B"/>
    <w:pPr>
      <w:numPr>
        <w:numId w:val="9"/>
      </w:numPr>
    </w:pPr>
  </w:style>
  <w:style w:type="paragraph" w:customStyle="1" w:styleId="ListAlpha2">
    <w:name w:val="List Alpha 2"/>
    <w:basedOn w:val="List2"/>
    <w:rsid w:val="0037203B"/>
    <w:pPr>
      <w:numPr>
        <w:numId w:val="8"/>
      </w:numPr>
    </w:pPr>
  </w:style>
  <w:style w:type="paragraph" w:styleId="List2">
    <w:name w:val="List 2"/>
    <w:basedOn w:val="BodyText"/>
    <w:rsid w:val="003720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0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0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0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0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0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203B"/>
    <w:pPr>
      <w:numPr>
        <w:numId w:val="4"/>
      </w:numPr>
    </w:pPr>
  </w:style>
  <w:style w:type="paragraph" w:styleId="ListContinue2">
    <w:name w:val="List Continue 2"/>
    <w:basedOn w:val="List2"/>
    <w:rsid w:val="0037203B"/>
    <w:pPr>
      <w:ind w:firstLine="0"/>
    </w:pPr>
  </w:style>
  <w:style w:type="paragraph" w:styleId="ListContinue3">
    <w:name w:val="List Continue 3"/>
    <w:basedOn w:val="List3"/>
    <w:rsid w:val="0037203B"/>
    <w:pPr>
      <w:ind w:left="1021" w:firstLine="0"/>
    </w:pPr>
  </w:style>
  <w:style w:type="paragraph" w:styleId="ListContinue4">
    <w:name w:val="List Continue 4"/>
    <w:basedOn w:val="List4"/>
    <w:rsid w:val="0037203B"/>
    <w:pPr>
      <w:ind w:firstLine="0"/>
    </w:pPr>
  </w:style>
  <w:style w:type="paragraph" w:styleId="ListContinue5">
    <w:name w:val="List Continue 5"/>
    <w:basedOn w:val="List5"/>
    <w:rsid w:val="0037203B"/>
    <w:pPr>
      <w:ind w:firstLine="0"/>
    </w:pPr>
  </w:style>
  <w:style w:type="paragraph" w:styleId="ListNumber3">
    <w:name w:val="List Number 3"/>
    <w:basedOn w:val="List3"/>
    <w:rsid w:val="0037203B"/>
    <w:pPr>
      <w:numPr>
        <w:numId w:val="5"/>
      </w:numPr>
    </w:pPr>
  </w:style>
  <w:style w:type="paragraph" w:styleId="ListNumber4">
    <w:name w:val="List Number 4"/>
    <w:basedOn w:val="List4"/>
    <w:rsid w:val="0037203B"/>
    <w:pPr>
      <w:numPr>
        <w:numId w:val="6"/>
      </w:numPr>
    </w:pPr>
  </w:style>
  <w:style w:type="paragraph" w:styleId="ListNumber5">
    <w:name w:val="List Number 5"/>
    <w:basedOn w:val="List5"/>
    <w:rsid w:val="0037203B"/>
    <w:pPr>
      <w:numPr>
        <w:numId w:val="7"/>
      </w:numPr>
    </w:pPr>
  </w:style>
  <w:style w:type="paragraph" w:styleId="BlockText">
    <w:name w:val="Block Text"/>
    <w:basedOn w:val="Normal"/>
    <w:rsid w:val="003720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0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03B"/>
    <w:rPr>
      <w:sz w:val="16"/>
      <w:vertAlign w:val="superscript"/>
    </w:rPr>
  </w:style>
  <w:style w:type="character" w:customStyle="1" w:styleId="Symbols">
    <w:name w:val="Symbols"/>
    <w:basedOn w:val="DefaultParagraphFont"/>
    <w:rsid w:val="0037203B"/>
    <w:rPr>
      <w:rFonts w:ascii="Symbol" w:hAnsi="Symbol"/>
    </w:rPr>
  </w:style>
  <w:style w:type="character" w:customStyle="1" w:styleId="MenuOptions">
    <w:name w:val="Menu Options"/>
    <w:basedOn w:val="DefaultParagraphFont"/>
    <w:rsid w:val="003720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03B"/>
    <w:rPr>
      <w:b/>
    </w:rPr>
  </w:style>
  <w:style w:type="character" w:customStyle="1" w:styleId="Underlined">
    <w:name w:val="Underlined"/>
    <w:basedOn w:val="DefaultParagraphFont"/>
    <w:rsid w:val="0037203B"/>
    <w:rPr>
      <w:u w:val="single"/>
    </w:rPr>
  </w:style>
  <w:style w:type="paragraph" w:customStyle="1" w:styleId="TableBodyTextRight">
    <w:name w:val="Table Body Text Right"/>
    <w:basedOn w:val="TableBodyText"/>
    <w:rsid w:val="003720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03B"/>
    <w:rPr>
      <w:sz w:val="18"/>
    </w:rPr>
  </w:style>
  <w:style w:type="paragraph" w:customStyle="1" w:styleId="BodySmallRight">
    <w:name w:val="Body Small Right"/>
    <w:basedOn w:val="BodyTextRight"/>
    <w:rsid w:val="0037203B"/>
    <w:rPr>
      <w:sz w:val="18"/>
      <w:szCs w:val="18"/>
    </w:rPr>
  </w:style>
  <w:style w:type="paragraph" w:customStyle="1" w:styleId="MarginEdition">
    <w:name w:val="Margin Edition"/>
    <w:basedOn w:val="MarginNote"/>
    <w:rsid w:val="003720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03B"/>
    <w:rPr>
      <w:sz w:val="2"/>
      <w:szCs w:val="2"/>
    </w:rPr>
  </w:style>
  <w:style w:type="character" w:customStyle="1" w:styleId="Small">
    <w:name w:val="Small"/>
    <w:basedOn w:val="DefaultParagraphFont"/>
    <w:rsid w:val="0037203B"/>
    <w:rPr>
      <w:sz w:val="16"/>
    </w:rPr>
  </w:style>
  <w:style w:type="paragraph" w:customStyle="1" w:styleId="WideTable">
    <w:name w:val="Wide Table"/>
    <w:basedOn w:val="Normal"/>
    <w:rsid w:val="003720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03B"/>
  </w:style>
  <w:style w:type="paragraph" w:styleId="Quote">
    <w:name w:val="Quote"/>
    <w:basedOn w:val="Heading1"/>
    <w:link w:val="QuoteChar"/>
    <w:qFormat/>
    <w:rsid w:val="003720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0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03B"/>
    <w:pPr>
      <w:pageBreakBefore/>
    </w:pPr>
  </w:style>
  <w:style w:type="paragraph" w:customStyle="1" w:styleId="Border">
    <w:name w:val="Border"/>
    <w:basedOn w:val="Normal"/>
    <w:qFormat/>
    <w:rsid w:val="003720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0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0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0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0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0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0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0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0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03B"/>
    <w:rPr>
      <w:u w:val="single"/>
    </w:rPr>
  </w:style>
  <w:style w:type="character" w:customStyle="1" w:styleId="BoldandItalics">
    <w:name w:val="Bold and Italics"/>
    <w:qFormat/>
    <w:rsid w:val="0037203B"/>
    <w:rPr>
      <w:b/>
      <w:i/>
      <w:u w:val="none"/>
    </w:rPr>
  </w:style>
  <w:style w:type="paragraph" w:styleId="BalloonText">
    <w:name w:val="Balloon Text"/>
    <w:basedOn w:val="Normal"/>
    <w:link w:val="BalloonTextChar"/>
    <w:rsid w:val="00372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0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0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0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0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0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03B"/>
    <w:pPr>
      <w:spacing w:before="0" w:after="0"/>
    </w:pPr>
  </w:style>
  <w:style w:type="paragraph" w:customStyle="1" w:styleId="BodyTextBold">
    <w:name w:val="Body Text Bold"/>
    <w:basedOn w:val="BodyText"/>
    <w:qFormat/>
    <w:rsid w:val="0037203B"/>
    <w:rPr>
      <w:b/>
    </w:rPr>
  </w:style>
  <w:style w:type="character" w:styleId="Hyperlink">
    <w:name w:val="Hyperlink"/>
    <w:basedOn w:val="DefaultParagraphFont"/>
    <w:uiPriority w:val="99"/>
    <w:unhideWhenUsed/>
    <w:rsid w:val="00EB27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5253</Characters>
  <Application>Microsoft Office Word</Application>
  <DocSecurity>0</DocSecurity>
  <Lines>134</Lines>
  <Paragraphs>90</Paragraphs>
  <ScaleCrop>false</ScaleCrop>
  <Company>Author-it Software Corporation Ltd.</Company>
  <LinksUpToDate>false</LinksUpToDate>
  <CharactersWithSpaces>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RIIPGP201D Conduct pump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2024-04-26T01:27:00Z</dcterms:created>
  <dcterms:modified xsi:type="dcterms:W3CDTF">2024-04-26T01:27:00Z</dcterms:modified>
</cp:coreProperties>
</file>