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1D4" w:rsidP="001841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RIIPEO208D Extend, retract and maintain conveyor componentry</w:t>
      </w:r>
      <w:r>
        <w:fldChar w:fldCharType="end"/>
      </w:r>
    </w:p>
    <w:p w:rsidR="001841D4" w:rsidP="001841D4">
      <w:pPr>
        <w:pStyle w:val="Version"/>
        <w:sectPr w:rsidSect="007B64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643D" w:rsidP="007B643D">
      <w:pPr>
        <w:pStyle w:val="SuperHeading"/>
      </w:pPr>
      <w:r w:rsidRPr="007B643D">
        <w:t>Assessment Requirements for RIIPEO208D Extend, retract and maintain conveyor componentry</w:t>
      </w:r>
    </w:p>
    <w:p w:rsidR="00000000" w:rsidRPr="007B643D" w:rsidP="007B643D">
      <w:pPr>
        <w:pStyle w:val="Heading1"/>
      </w:pPr>
      <w:bookmarkStart w:id="1" w:name="O_687213"/>
      <w:bookmarkEnd w:id="1"/>
      <w:r w:rsidRPr="007B643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841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D">
            <w:pPr>
              <w:pStyle w:val="Heading4"/>
              <w:rPr>
                <w:lang w:val="en-NZ"/>
              </w:rPr>
            </w:pPr>
            <w:r w:rsidRPr="007B643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D">
            <w:pPr>
              <w:pStyle w:val="Heading4"/>
              <w:rPr>
                <w:lang w:val="en-NZ"/>
              </w:rPr>
            </w:pPr>
            <w:r w:rsidRPr="007B643D">
              <w:t>Comment</w:t>
            </w:r>
          </w:p>
        </w:tc>
      </w:tr>
      <w:tr w:rsidTr="001841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D">
            <w:pPr>
              <w:pStyle w:val="BodyText"/>
              <w:rPr>
                <w:lang w:val="en-NZ"/>
              </w:rPr>
            </w:pPr>
            <w:r w:rsidRPr="007B643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D">
            <w:pPr>
              <w:pStyle w:val="BodyText"/>
              <w:rPr>
                <w:lang w:val="en-NZ"/>
              </w:rPr>
            </w:pPr>
            <w:r w:rsidRPr="007B643D">
              <w:t>This unit replaces RIIPEO208A Extend, retract and maintain conveyor componentry</w:t>
            </w:r>
          </w:p>
        </w:tc>
      </w:tr>
      <w:tr w:rsidTr="001841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43D">
            <w:pPr>
              <w:pStyle w:val="BodyText"/>
              <w:rPr>
                <w:lang w:val="en-NZ"/>
              </w:rPr>
            </w:pPr>
            <w:r w:rsidRPr="007B643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43D" w:rsidP="007B643D">
            <w:pPr>
              <w:pStyle w:val="BodyText"/>
            </w:pPr>
            <w:r w:rsidRPr="007B643D">
              <w:t>Required frequency and volume of evidence amended in Performance evidence.</w:t>
            </w:r>
          </w:p>
          <w:p w:rsidR="00000000" w:rsidRPr="007B643D" w:rsidP="007B643D">
            <w:pPr>
              <w:pStyle w:val="BodyText"/>
            </w:pPr>
            <w:r w:rsidRPr="007B643D">
              <w:t>Substantial amendments made in Assessment Conditions field, including: references to Industry Sectors, assessor and subject matter expert experience requirements, how assessment sho</w:t>
            </w:r>
            <w:r w:rsidRPr="007B643D">
              <w:t>uld be conducted and what it should confirm.</w:t>
            </w:r>
          </w:p>
        </w:tc>
      </w:tr>
    </w:tbl>
    <w:p w:rsidR="00000000" w:rsidRPr="007B643D" w:rsidP="007B643D">
      <w:pPr>
        <w:pStyle w:val="BodyText"/>
      </w:pPr>
    </w:p>
    <w:p w:rsidR="00000000" w:rsidRPr="007B643D" w:rsidP="007B643D">
      <w:pPr>
        <w:pStyle w:val="AllowPageBreak"/>
      </w:pPr>
    </w:p>
    <w:p w:rsidR="00000000" w:rsidRPr="007B643D" w:rsidP="007B643D">
      <w:pPr>
        <w:pStyle w:val="Heading1"/>
      </w:pPr>
      <w:bookmarkStart w:id="2" w:name="O_687212"/>
      <w:bookmarkEnd w:id="2"/>
      <w:r w:rsidRPr="007B643D">
        <w:t>Performance Evidence</w:t>
      </w:r>
    </w:p>
    <w:p w:rsidR="00000000" w:rsidRPr="007B643D" w:rsidP="001841D4">
      <w:pPr>
        <w:pStyle w:val="BodyText"/>
      </w:pPr>
      <w:r w:rsidRPr="007B643D">
        <w:t>Evidence is required to be collected that demonstrates a candidate’s competency in this unit. Evidence must be relevant to the roles within this sector’s work operations a</w:t>
      </w:r>
      <w:r w:rsidRPr="007B643D">
        <w:t>nd satisfy all of the requirements of the performance criteria of this unit and include evidence that the candidate:</w:t>
      </w:r>
    </w:p>
    <w:p w:rsidR="00000000" w:rsidRPr="007B643D" w:rsidP="007B643D">
      <w:pPr>
        <w:pStyle w:val="ListBullet"/>
      </w:pPr>
      <w:r w:rsidRPr="007B643D">
        <w:t>locates and applies applicable documentation, policies and procedures</w:t>
      </w:r>
    </w:p>
    <w:p w:rsidR="00000000" w:rsidRPr="007B643D" w:rsidP="007B643D">
      <w:pPr>
        <w:pStyle w:val="ListBullet"/>
      </w:pPr>
      <w:r w:rsidRPr="007B643D">
        <w:t>implements the requirements, procedures and techniques for the safe, effective and efficient completion of extension, retraction and maintenance of conveyor componentry including:</w:t>
      </w:r>
    </w:p>
    <w:p w:rsidR="00000000" w:rsidRPr="007B643D" w:rsidP="007B643D">
      <w:pPr>
        <w:pStyle w:val="ListBullet2"/>
      </w:pPr>
      <w:r w:rsidRPr="007B643D">
        <w:t>complying with site and manufacturer requirements</w:t>
      </w:r>
    </w:p>
    <w:p w:rsidR="00000000" w:rsidRPr="007B643D" w:rsidP="007B643D">
      <w:pPr>
        <w:pStyle w:val="ListBullet2"/>
      </w:pPr>
      <w:r w:rsidRPr="007B643D">
        <w:t>isolation, tagging and re</w:t>
      </w:r>
      <w:r w:rsidRPr="007B643D">
        <w:t>storation of tagging</w:t>
      </w:r>
    </w:p>
    <w:p w:rsidR="00000000" w:rsidRPr="007B643D" w:rsidP="007B643D">
      <w:pPr>
        <w:pStyle w:val="ListBullet2"/>
      </w:pPr>
      <w:r w:rsidRPr="007B643D">
        <w:t xml:space="preserve">maintaining written equipment records </w:t>
      </w:r>
    </w:p>
    <w:p w:rsidR="00000000" w:rsidRPr="007B643D" w:rsidP="007B643D">
      <w:pPr>
        <w:pStyle w:val="ListBullet"/>
      </w:pPr>
      <w:r w:rsidRPr="007B643D">
        <w:t>works effectively with others to undertake and complete the extension, retraction and maintenance of conveyor componentry that meets all of the required outcomes including:</w:t>
      </w:r>
    </w:p>
    <w:p w:rsidR="00000000" w:rsidRPr="007B643D" w:rsidP="007B643D">
      <w:pPr>
        <w:pStyle w:val="ListBullet"/>
      </w:pPr>
      <w:r w:rsidRPr="007B643D">
        <w:t>communicate and coordi</w:t>
      </w:r>
      <w:r w:rsidRPr="007B643D">
        <w:t>nate activities with others</w:t>
      </w:r>
    </w:p>
    <w:p w:rsidR="00000000" w:rsidRPr="007B643D" w:rsidP="007B643D">
      <w:pPr>
        <w:pStyle w:val="ListBullet2"/>
      </w:pPr>
      <w:r w:rsidRPr="007B643D">
        <w:t xml:space="preserve">participate in shift briefing </w:t>
      </w:r>
    </w:p>
    <w:p w:rsidR="00000000" w:rsidRPr="007B643D" w:rsidP="007B643D">
      <w:pPr>
        <w:pStyle w:val="ListBullet2"/>
      </w:pPr>
      <w:r w:rsidRPr="007B643D">
        <w:t>clearly and concisely communicating and interpreting handover details</w:t>
      </w:r>
    </w:p>
    <w:p w:rsidR="00000000" w:rsidRPr="007B643D" w:rsidP="007B643D">
      <w:pPr>
        <w:pStyle w:val="ListBullet"/>
      </w:pPr>
      <w:r w:rsidRPr="007B643D">
        <w:t>demonstrates completion of the extension, retraction and maintenance of conveyor componentry that safely, effectively and eff</w:t>
      </w:r>
      <w:r w:rsidRPr="007B643D">
        <w:t>iciently meets all of the required outcomes on more than one (1) occasion including:</w:t>
      </w:r>
    </w:p>
    <w:p w:rsidR="00000000" w:rsidRPr="007B643D" w:rsidP="007B643D">
      <w:pPr>
        <w:pStyle w:val="ListBullet2"/>
      </w:pPr>
      <w:r w:rsidRPr="007B643D">
        <w:t xml:space="preserve">using conveyor assembly procedure to extend conveyor </w:t>
      </w:r>
    </w:p>
    <w:p w:rsidR="00000000" w:rsidRPr="007B643D" w:rsidP="007B643D">
      <w:pPr>
        <w:pStyle w:val="ListBullet2"/>
      </w:pPr>
      <w:r w:rsidRPr="007B643D">
        <w:t>using conveyor assembly procedure to retract conveyor</w:t>
      </w:r>
    </w:p>
    <w:p w:rsidR="00000000" w:rsidRPr="007B643D" w:rsidP="007B643D">
      <w:pPr>
        <w:pStyle w:val="ListBullet2"/>
      </w:pPr>
      <w:r w:rsidRPr="007B643D">
        <w:t>identifying, using and maintaining conveyor componentry</w:t>
      </w:r>
    </w:p>
    <w:p w:rsidR="00000000" w:rsidRPr="007B643D" w:rsidP="007B643D">
      <w:pPr>
        <w:pStyle w:val="ListBullet3"/>
      </w:pPr>
      <w:r w:rsidRPr="007B643D">
        <w:t>belt</w:t>
      </w:r>
    </w:p>
    <w:p w:rsidR="00000000" w:rsidRPr="007B643D" w:rsidP="007B643D">
      <w:pPr>
        <w:pStyle w:val="ListBullet3"/>
      </w:pPr>
      <w:r w:rsidRPr="007B643D">
        <w:t>rollers</w:t>
      </w:r>
    </w:p>
    <w:p w:rsidR="00000000" w:rsidRPr="007B643D" w:rsidP="007B643D">
      <w:pPr>
        <w:pStyle w:val="ListBullet3"/>
      </w:pPr>
      <w:r w:rsidRPr="007B643D">
        <w:t>structures</w:t>
      </w:r>
    </w:p>
    <w:p w:rsidR="00000000" w:rsidRPr="007B643D" w:rsidP="007B643D">
      <w:pPr>
        <w:pStyle w:val="ListBullet3"/>
      </w:pPr>
      <w:r w:rsidRPr="007B643D">
        <w:t>belt control equipment</w:t>
      </w:r>
    </w:p>
    <w:p w:rsidR="00000000" w:rsidRPr="007B643D" w:rsidP="007B643D">
      <w:pPr>
        <w:pStyle w:val="AllowPageBreak"/>
      </w:pPr>
    </w:p>
    <w:p w:rsidR="00000000" w:rsidRPr="007B643D" w:rsidP="007B643D">
      <w:pPr>
        <w:pStyle w:val="Heading1"/>
      </w:pPr>
      <w:bookmarkStart w:id="3" w:name="O_687211"/>
      <w:bookmarkEnd w:id="3"/>
      <w:r w:rsidRPr="007B643D">
        <w:t>Knowledge Evidence</w:t>
      </w:r>
    </w:p>
    <w:p w:rsidR="00000000" w:rsidRPr="007B643D" w:rsidP="001841D4">
      <w:pPr>
        <w:pStyle w:val="BodyText"/>
      </w:pPr>
      <w:r w:rsidRPr="007B643D">
        <w:t>The candidate must demonstrate knowledge of extending, retracting and maintaining conveyor componentry through:</w:t>
      </w:r>
    </w:p>
    <w:p w:rsidR="00000000" w:rsidRPr="007B643D" w:rsidP="007B643D">
      <w:pPr>
        <w:pStyle w:val="ListBullet2"/>
      </w:pPr>
      <w:r w:rsidRPr="007B643D">
        <w:t>apply, organisation and site requirements and procedures for exte</w:t>
      </w:r>
      <w:r w:rsidRPr="007B643D">
        <w:t>nding, retracting and maintaining conveyor componentry</w:t>
      </w:r>
    </w:p>
    <w:p w:rsidR="00000000" w:rsidRPr="007B643D" w:rsidP="007B643D">
      <w:pPr>
        <w:pStyle w:val="ListBullet2"/>
      </w:pPr>
      <w:r w:rsidRPr="007B643D">
        <w:t>access, interpret and apply technical and safety information</w:t>
      </w:r>
    </w:p>
    <w:p w:rsidR="00000000" w:rsidRPr="007B643D" w:rsidP="007B643D">
      <w:pPr>
        <w:pStyle w:val="ListBullet2"/>
      </w:pPr>
      <w:r w:rsidRPr="007B643D">
        <w:t>interpret and apply survey information and plans</w:t>
      </w:r>
    </w:p>
    <w:p w:rsidR="00000000" w:rsidRPr="007B643D" w:rsidP="007B643D">
      <w:pPr>
        <w:pStyle w:val="ListBullet2"/>
      </w:pPr>
      <w:r w:rsidRPr="007B643D">
        <w:t>operate relevant plant and machinery</w:t>
      </w:r>
    </w:p>
    <w:p w:rsidR="00000000" w:rsidRPr="007B643D" w:rsidP="007B643D">
      <w:pPr>
        <w:pStyle w:val="ListBullet2"/>
      </w:pPr>
      <w:r w:rsidRPr="007B643D">
        <w:t>maintain equipment records</w:t>
      </w:r>
    </w:p>
    <w:p w:rsidR="00000000" w:rsidRPr="007B643D" w:rsidP="007B643D">
      <w:pPr>
        <w:pStyle w:val="ListBullet2"/>
      </w:pPr>
      <w:r w:rsidRPr="007B643D">
        <w:t>comply with environmental r</w:t>
      </w:r>
      <w:r w:rsidRPr="007B643D">
        <w:t>equirements</w:t>
      </w:r>
    </w:p>
    <w:p w:rsidR="00000000" w:rsidRPr="007B643D" w:rsidP="007B643D">
      <w:pPr>
        <w:pStyle w:val="ListBullet2"/>
      </w:pPr>
      <w:r w:rsidRPr="007B643D">
        <w:t>operational safety requirements</w:t>
      </w:r>
    </w:p>
    <w:p w:rsidR="00000000" w:rsidRPr="007B643D" w:rsidP="007B643D">
      <w:pPr>
        <w:pStyle w:val="ListBullet2"/>
      </w:pPr>
      <w:r w:rsidRPr="007B643D">
        <w:t>mine operational procedures</w:t>
      </w:r>
    </w:p>
    <w:p w:rsidR="00000000" w:rsidRPr="007B643D" w:rsidP="007B643D">
      <w:pPr>
        <w:pStyle w:val="ListBullet2"/>
      </w:pPr>
      <w:r w:rsidRPr="007B643D">
        <w:t>conveyor operations and componentry</w:t>
      </w:r>
    </w:p>
    <w:p w:rsidR="00000000" w:rsidRPr="007B643D" w:rsidP="007B643D">
      <w:pPr>
        <w:pStyle w:val="ListBullet2"/>
      </w:pPr>
      <w:r w:rsidRPr="007B643D">
        <w:t>relevant conveyor assembly procedures</w:t>
      </w:r>
    </w:p>
    <w:p w:rsidR="00000000" w:rsidRPr="007B643D" w:rsidP="007B643D">
      <w:pPr>
        <w:pStyle w:val="ListBullet2"/>
      </w:pPr>
      <w:r w:rsidRPr="007B643D">
        <w:t>relevant geological and survey information</w:t>
      </w:r>
    </w:p>
    <w:p w:rsidR="00000000" w:rsidRPr="007B643D" w:rsidP="007B643D">
      <w:pPr>
        <w:pStyle w:val="ListBullet2"/>
      </w:pPr>
      <w:r w:rsidRPr="007B643D">
        <w:t>conveyor maintenance requirements</w:t>
      </w:r>
    </w:p>
    <w:p w:rsidR="00000000" w:rsidRPr="007B643D" w:rsidP="007B643D">
      <w:pPr>
        <w:pStyle w:val="ListBullet2"/>
      </w:pPr>
      <w:r w:rsidRPr="007B643D">
        <w:t>site environment requirements and constraints related to conveyor work</w:t>
      </w:r>
    </w:p>
    <w:p w:rsidR="00000000" w:rsidRPr="007B643D" w:rsidP="007B643D">
      <w:pPr>
        <w:pStyle w:val="AllowPageBreak"/>
      </w:pPr>
    </w:p>
    <w:p w:rsidR="00000000" w:rsidRPr="007B643D" w:rsidP="007B643D">
      <w:pPr>
        <w:pStyle w:val="Heading1"/>
      </w:pPr>
      <w:bookmarkStart w:id="4" w:name="O_687210"/>
      <w:bookmarkEnd w:id="4"/>
      <w:r w:rsidRPr="007B643D">
        <w:t>Assessment Conditions</w:t>
      </w:r>
    </w:p>
    <w:p w:rsidR="00000000" w:rsidRPr="007B643D" w:rsidP="007B643D">
      <w:pPr>
        <w:pStyle w:val="ListBullet"/>
      </w:pPr>
      <w:r w:rsidRPr="007B643D">
        <w:t>An assessor of this unit must satisfy the requirements of the NVR/AQTF or their successors; and Industry regulations for certification and licens</w:t>
      </w:r>
      <w:r w:rsidRPr="007B643D">
        <w:t xml:space="preserve">ing; and, </w:t>
      </w:r>
    </w:p>
    <w:p w:rsidR="00000000" w:rsidRPr="007B643D" w:rsidP="007B643D">
      <w:pPr>
        <w:pStyle w:val="ListBullet"/>
      </w:pPr>
      <w:r w:rsidRPr="007B643D">
        <w:t>this unit must be assessed in the context of this sector’s work environment; and,</w:t>
      </w:r>
    </w:p>
    <w:p w:rsidR="00000000" w:rsidRPr="007B643D" w:rsidP="007B643D">
      <w:pPr>
        <w:pStyle w:val="ListBullet"/>
      </w:pPr>
      <w:r w:rsidRPr="007B643D">
        <w:t>this unit must be assessed in compliance with relevant legislation/regulation and using policies, procedures, processes and operational manuals directly related to</w:t>
      </w:r>
      <w:r w:rsidRPr="007B643D">
        <w:t xml:space="preserve"> the industry sector for which it is being assessed; and,</w:t>
      </w:r>
    </w:p>
    <w:p w:rsidR="00000000" w:rsidRPr="007B643D" w:rsidP="007B643D">
      <w:pPr>
        <w:pStyle w:val="ListBullet"/>
      </w:pPr>
      <w:r w:rsidRPr="007B643D">
        <w:t>assessment may be conducted in conjunction with the assessment of other Units of Competency; and,</w:t>
      </w:r>
    </w:p>
    <w:p w:rsidR="00000000" w:rsidRPr="007B643D" w:rsidP="007B643D">
      <w:pPr>
        <w:pStyle w:val="ListBullet"/>
      </w:pPr>
      <w:r w:rsidRPr="007B643D">
        <w:t>assessment must confirm consistent performance can be applied in a range of relevant workplace circu</w:t>
      </w:r>
      <w:r w:rsidRPr="007B643D">
        <w:t>mstances; and,</w:t>
      </w:r>
    </w:p>
    <w:p w:rsidR="00000000" w:rsidRPr="007B643D" w:rsidP="007B643D">
      <w:pPr>
        <w:pStyle w:val="ListBullet"/>
      </w:pPr>
      <w:r w:rsidRPr="007B643D">
        <w:t>assessors must demonstrate the performance evidence, and knowledge evidence as outlined in this Unit of Competency, and through the minimum years of current* work experience specified below i</w:t>
      </w:r>
      <w:r w:rsidRPr="007B643D">
        <w:t>n an Industry sector relevant to the outcomes of the unit; or,</w:t>
      </w:r>
    </w:p>
    <w:p w:rsidR="00000000" w:rsidRPr="007B643D" w:rsidP="007B643D">
      <w:pPr>
        <w:pStyle w:val="ListBullet"/>
      </w:pPr>
      <w:r w:rsidRPr="007B643D">
        <w:t>where the assessor does not meet experience requirements a co-assessment or partnership arrangement must exist between the qualified assessor and an Industry subject matter expert. The Industry</w:t>
      </w:r>
      <w:r w:rsidRPr="007B643D">
        <w:t xml:space="preserve"> subject matter expert should hold the unit being assessed (or an equivalent unit) and/or demonstrate equivalence of skills and knowledge at the unit level. An Industry technical expert must also demonstrate skills and knowledge from the minimum years of c</w:t>
      </w:r>
      <w:r w:rsidRPr="007B643D">
        <w:t>urrent work experience specified below in the Industry sector, including time spent in roles related to the unit being assessed; and,</w:t>
      </w:r>
    </w:p>
    <w:p w:rsidR="00000000" w:rsidRPr="007B643D" w:rsidP="007B643D">
      <w:pPr>
        <w:pStyle w:val="ListBullet"/>
      </w:pPr>
      <w:r w:rsidRPr="007B643D">
        <w:t>assessor and Industry subject matter expert requirements differ depending on the Australian Qualifications Framework Level</w:t>
      </w:r>
      <w:r w:rsidRPr="007B643D">
        <w:t xml:space="preserve">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B643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D">
            <w:pPr>
              <w:pStyle w:val="SubHeading1"/>
              <w:rPr>
                <w:lang w:val="en-NZ"/>
              </w:rPr>
            </w:pPr>
            <w:r w:rsidRPr="007B643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D">
            <w:pPr>
              <w:pStyle w:val="SubHeading1"/>
              <w:rPr>
                <w:lang w:val="en-NZ"/>
              </w:rPr>
            </w:pPr>
            <w:r w:rsidRPr="007B643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D">
            <w:pPr>
              <w:pStyle w:val="SubHeading1"/>
              <w:rPr>
                <w:lang w:val="en-NZ"/>
              </w:rPr>
            </w:pPr>
            <w:r w:rsidRPr="007B643D">
              <w:t>Required assessor or Industry subject matter expert experience</w:t>
            </w:r>
          </w:p>
        </w:tc>
      </w:tr>
      <w:tr w:rsidTr="007B643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D">
            <w:pPr>
              <w:pStyle w:val="BodyText"/>
              <w:rPr>
                <w:lang w:val="en-NZ"/>
              </w:rPr>
            </w:pPr>
            <w:r w:rsidRPr="007B643D">
              <w:t>Drilling, Metalliferous Mining, Coal Mining, Extractive (Quarrying) and Civil Construc</w:t>
            </w:r>
            <w:r w:rsidRPr="007B643D">
              <w:t>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D">
            <w:pPr>
              <w:pStyle w:val="BodyText"/>
              <w:rPr>
                <w:lang w:val="en-NZ"/>
              </w:rPr>
            </w:pPr>
            <w:r w:rsidRPr="007B643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D">
            <w:pPr>
              <w:pStyle w:val="BodyText"/>
              <w:rPr>
                <w:lang w:val="en-NZ"/>
              </w:rPr>
            </w:pPr>
            <w:r w:rsidRPr="007B643D">
              <w:t>1 Year</w:t>
            </w:r>
          </w:p>
        </w:tc>
      </w:tr>
      <w:tr w:rsidTr="007B643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D">
            <w:pPr>
              <w:pStyle w:val="BodyText"/>
              <w:rPr>
                <w:lang w:val="en-NZ"/>
              </w:rPr>
            </w:pPr>
            <w:r w:rsidRPr="007B643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D">
            <w:pPr>
              <w:pStyle w:val="BodyText"/>
              <w:rPr>
                <w:lang w:val="en-NZ"/>
              </w:rPr>
            </w:pPr>
            <w:r w:rsidRPr="007B643D">
              <w:t>2 Years</w:t>
            </w:r>
          </w:p>
        </w:tc>
      </w:tr>
      <w:tr w:rsidTr="007B643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D">
            <w:pPr>
              <w:pStyle w:val="BodyText"/>
              <w:rPr>
                <w:lang w:val="en-NZ"/>
              </w:rPr>
            </w:pPr>
            <w:r w:rsidRPr="007B643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D">
            <w:pPr>
              <w:pStyle w:val="BodyText"/>
              <w:rPr>
                <w:lang w:val="en-NZ"/>
              </w:rPr>
            </w:pPr>
            <w:r w:rsidRPr="007B643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D">
            <w:pPr>
              <w:pStyle w:val="BodyText"/>
              <w:rPr>
                <w:lang w:val="en-NZ"/>
              </w:rPr>
            </w:pPr>
            <w:r w:rsidRPr="007B643D">
              <w:t>3 Years</w:t>
            </w:r>
          </w:p>
        </w:tc>
      </w:tr>
      <w:tr w:rsidTr="007B643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D">
            <w:pPr>
              <w:pStyle w:val="BodyText"/>
              <w:rPr>
                <w:lang w:val="en-NZ"/>
              </w:rPr>
            </w:pPr>
            <w:r w:rsidRPr="007B643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D">
            <w:pPr>
              <w:pStyle w:val="BodyText"/>
              <w:rPr>
                <w:lang w:val="en-NZ"/>
              </w:rPr>
            </w:pPr>
            <w:r w:rsidRPr="007B643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D">
            <w:pPr>
              <w:pStyle w:val="BodyText"/>
              <w:rPr>
                <w:lang w:val="en-NZ"/>
              </w:rPr>
            </w:pPr>
            <w:r w:rsidRPr="007B643D">
              <w:t>5 Years</w:t>
            </w:r>
          </w:p>
        </w:tc>
      </w:tr>
      <w:tr w:rsidTr="007B643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B643D">
            <w:pPr>
              <w:pStyle w:val="BodyText"/>
              <w:rPr>
                <w:lang w:val="en-NZ"/>
              </w:rPr>
            </w:pPr>
            <w:r w:rsidRPr="007B643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643D" w:rsidP="007B643D">
            <w:pPr>
              <w:pStyle w:val="BodyText"/>
            </w:pPr>
            <w:r w:rsidRPr="007B643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B643D">
              <w:t>ndard is specified should comply with any relevant regulation.</w:t>
            </w:r>
          </w:p>
        </w:tc>
      </w:tr>
    </w:tbl>
    <w:p w:rsidR="00000000" w:rsidRPr="007B643D" w:rsidP="001841D4">
      <w:pPr>
        <w:pStyle w:val="BodyText"/>
      </w:pPr>
      <w:r w:rsidRPr="007B643D">
        <w:t>*Assessors can demonstrate current work experience through employment within Industry in a role relevant to the outcomes of the Unit; or, for external assessors this can be demonstrated throu</w:t>
      </w:r>
      <w:r w:rsidRPr="007B643D">
        <w:t>gh exposure to Industry by conducting frequent site assessments across various locations.</w:t>
      </w:r>
    </w:p>
    <w:p w:rsidR="001841D4" w:rsidP="001841D4">
      <w:pPr>
        <w:pStyle w:val="BodyText"/>
      </w:pPr>
      <w:r w:rsidRPr="007B643D">
        <w:t>**Where a unit is being delivered outside of a Qualification the first numeric character in the Unit code should be considered to indicate the AQF level</w:t>
      </w:r>
    </w:p>
    <w:p w:rsidR="00000000" w:rsidRPr="007B643D" w:rsidP="007B643D">
      <w:pPr>
        <w:pStyle w:val="Heading1"/>
      </w:pPr>
      <w:bookmarkStart w:id="5" w:name="O_687222"/>
      <w:bookmarkEnd w:id="5"/>
      <w:r w:rsidRPr="007B643D">
        <w:t>Links</w:t>
      </w:r>
    </w:p>
    <w:p w:rsidR="00000000" w:rsidRPr="007B643D" w:rsidP="001841D4">
      <w:pPr>
        <w:pStyle w:val="BodyText"/>
      </w:pPr>
      <w:r w:rsidRPr="007B64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83D9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B643D" w:rsidP="007B643D"/>
    <w:sectPr w:rsidSect="007B64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3D" w:rsidRPr="001841D4" w:rsidP="001841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1D4" w:rsidP="007B64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1D4" w:rsidP="007B64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41D4" w:rsidP="007B64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1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43D" w:rsidRPr="001841D4" w:rsidP="001841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4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1D4" w:rsidRPr="002D2AF8" w:rsidP="007B64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RIIPEO208D Extend, retract and maintain conveyor componentry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1841D4" w:rsidP="007B64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1E60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E2F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C27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4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4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4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4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4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4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4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4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4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4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4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43D"/>
  </w:style>
  <w:style w:type="character" w:customStyle="1" w:styleId="Heading1Char">
    <w:name w:val="Heading 1 Char"/>
    <w:basedOn w:val="DefaultParagraphFont"/>
    <w:link w:val="Heading1"/>
    <w:rsid w:val="007B64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43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B64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4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43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64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64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4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7B643D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7B64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B64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4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4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4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4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4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4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4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4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4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4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4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4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4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4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643D"/>
    <w:rPr>
      <w:b/>
      <w:spacing w:val="0"/>
    </w:rPr>
  </w:style>
  <w:style w:type="paragraph" w:customStyle="1" w:styleId="SuperTitle">
    <w:name w:val="SuperTitle"/>
    <w:basedOn w:val="Title"/>
    <w:rsid w:val="007B64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4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4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64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4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4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4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4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4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4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4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4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643D"/>
    <w:rPr>
      <w:i/>
    </w:rPr>
  </w:style>
  <w:style w:type="paragraph" w:styleId="Caption">
    <w:name w:val="caption"/>
    <w:basedOn w:val="BodyText"/>
    <w:next w:val="Normal"/>
    <w:qFormat/>
    <w:rsid w:val="007B64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4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4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43D"/>
  </w:style>
  <w:style w:type="paragraph" w:styleId="TableofFigures">
    <w:name w:val="table of figures"/>
    <w:basedOn w:val="Normal"/>
    <w:next w:val="Normal"/>
    <w:semiHidden/>
    <w:rsid w:val="007B64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4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643D"/>
    <w:rPr>
      <w:rFonts w:ascii="Wingdings" w:hAnsi="Wingdings"/>
    </w:rPr>
  </w:style>
  <w:style w:type="paragraph" w:customStyle="1" w:styleId="TableHeading">
    <w:name w:val="Table Heading"/>
    <w:basedOn w:val="HeadingBase"/>
    <w:rsid w:val="007B64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43D"/>
    <w:rPr>
      <w:color w:val="0033CC"/>
      <w:u w:val="none"/>
    </w:rPr>
  </w:style>
  <w:style w:type="paragraph" w:customStyle="1" w:styleId="BodyTextRight">
    <w:name w:val="Body Text Right"/>
    <w:basedOn w:val="BodyText"/>
    <w:rsid w:val="007B64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4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4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4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4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4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43D"/>
    <w:rPr>
      <w:sz w:val="32"/>
    </w:rPr>
  </w:style>
  <w:style w:type="paragraph" w:customStyle="1" w:styleId="HeadingProcedure">
    <w:name w:val="Heading Procedure"/>
    <w:basedOn w:val="HeadingBase"/>
    <w:next w:val="Normal"/>
    <w:rsid w:val="007B64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43D"/>
    <w:pPr>
      <w:spacing w:before="60" w:after="60"/>
    </w:pPr>
  </w:style>
  <w:style w:type="paragraph" w:styleId="ListContinue">
    <w:name w:val="List Continue"/>
    <w:basedOn w:val="List"/>
    <w:rsid w:val="007B643D"/>
    <w:pPr>
      <w:ind w:firstLine="0"/>
    </w:pPr>
  </w:style>
  <w:style w:type="paragraph" w:customStyle="1" w:styleId="ListNote">
    <w:name w:val="List Note"/>
    <w:basedOn w:val="List"/>
    <w:rsid w:val="007B64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4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4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43D"/>
    <w:rPr>
      <w:rFonts w:ascii="Courier New" w:hAnsi="Courier New"/>
    </w:rPr>
  </w:style>
  <w:style w:type="paragraph" w:customStyle="1" w:styleId="NoteBullet">
    <w:name w:val="Note Bullet"/>
    <w:basedOn w:val="Note"/>
    <w:rsid w:val="007B64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43D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7B64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4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64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4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43D"/>
    <w:rPr>
      <w:b/>
      <w:smallCaps/>
    </w:rPr>
  </w:style>
  <w:style w:type="paragraph" w:customStyle="1" w:styleId="TableListNumber">
    <w:name w:val="Table List Number"/>
    <w:basedOn w:val="ListNumber"/>
    <w:rsid w:val="007B64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4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43D"/>
    <w:pPr>
      <w:numPr>
        <w:numId w:val="10"/>
      </w:numPr>
    </w:pPr>
  </w:style>
  <w:style w:type="paragraph" w:customStyle="1" w:styleId="ListAlpha2">
    <w:name w:val="List Alpha 2"/>
    <w:basedOn w:val="List2"/>
    <w:rsid w:val="007B643D"/>
    <w:pPr>
      <w:numPr>
        <w:numId w:val="9"/>
      </w:numPr>
    </w:pPr>
  </w:style>
  <w:style w:type="paragraph" w:styleId="List2">
    <w:name w:val="List 2"/>
    <w:basedOn w:val="BodyText"/>
    <w:rsid w:val="007B64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4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4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4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64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643D"/>
    <w:pPr>
      <w:numPr>
        <w:numId w:val="5"/>
      </w:numPr>
    </w:pPr>
  </w:style>
  <w:style w:type="paragraph" w:styleId="ListContinue2">
    <w:name w:val="List Continue 2"/>
    <w:basedOn w:val="List2"/>
    <w:rsid w:val="007B643D"/>
    <w:pPr>
      <w:ind w:firstLine="0"/>
    </w:pPr>
  </w:style>
  <w:style w:type="paragraph" w:styleId="ListContinue3">
    <w:name w:val="List Continue 3"/>
    <w:basedOn w:val="List3"/>
    <w:rsid w:val="007B643D"/>
    <w:pPr>
      <w:ind w:left="1021" w:firstLine="0"/>
    </w:pPr>
  </w:style>
  <w:style w:type="paragraph" w:styleId="ListContinue4">
    <w:name w:val="List Continue 4"/>
    <w:basedOn w:val="List4"/>
    <w:rsid w:val="007B643D"/>
    <w:pPr>
      <w:ind w:firstLine="0"/>
    </w:pPr>
  </w:style>
  <w:style w:type="paragraph" w:styleId="ListContinue5">
    <w:name w:val="List Continue 5"/>
    <w:basedOn w:val="List5"/>
    <w:rsid w:val="007B643D"/>
    <w:pPr>
      <w:ind w:firstLine="0"/>
    </w:pPr>
  </w:style>
  <w:style w:type="paragraph" w:styleId="ListNumber3">
    <w:name w:val="List Number 3"/>
    <w:basedOn w:val="List3"/>
    <w:rsid w:val="007B643D"/>
    <w:pPr>
      <w:numPr>
        <w:numId w:val="6"/>
      </w:numPr>
    </w:pPr>
  </w:style>
  <w:style w:type="paragraph" w:styleId="ListNumber4">
    <w:name w:val="List Number 4"/>
    <w:basedOn w:val="List4"/>
    <w:rsid w:val="007B643D"/>
    <w:pPr>
      <w:numPr>
        <w:numId w:val="7"/>
      </w:numPr>
    </w:pPr>
  </w:style>
  <w:style w:type="paragraph" w:styleId="ListNumber5">
    <w:name w:val="List Number 5"/>
    <w:basedOn w:val="List5"/>
    <w:rsid w:val="007B643D"/>
    <w:pPr>
      <w:numPr>
        <w:numId w:val="8"/>
      </w:numPr>
    </w:pPr>
  </w:style>
  <w:style w:type="paragraph" w:styleId="BlockText">
    <w:name w:val="Block Text"/>
    <w:basedOn w:val="Normal"/>
    <w:rsid w:val="007B64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4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43D"/>
    <w:rPr>
      <w:sz w:val="16"/>
      <w:vertAlign w:val="superscript"/>
    </w:rPr>
  </w:style>
  <w:style w:type="character" w:customStyle="1" w:styleId="Symbols">
    <w:name w:val="Symbols"/>
    <w:basedOn w:val="DefaultParagraphFont"/>
    <w:rsid w:val="007B643D"/>
    <w:rPr>
      <w:rFonts w:ascii="Symbol" w:hAnsi="Symbol"/>
    </w:rPr>
  </w:style>
  <w:style w:type="character" w:customStyle="1" w:styleId="MenuOptions">
    <w:name w:val="Menu Options"/>
    <w:basedOn w:val="DefaultParagraphFont"/>
    <w:rsid w:val="007B64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43D"/>
    <w:rPr>
      <w:b/>
    </w:rPr>
  </w:style>
  <w:style w:type="character" w:customStyle="1" w:styleId="Underlined">
    <w:name w:val="Underlined"/>
    <w:basedOn w:val="DefaultParagraphFont"/>
    <w:rsid w:val="007B643D"/>
    <w:rPr>
      <w:u w:val="single"/>
    </w:rPr>
  </w:style>
  <w:style w:type="paragraph" w:customStyle="1" w:styleId="TableBodyTextRight">
    <w:name w:val="Table Body Text Right"/>
    <w:basedOn w:val="TableBodyText"/>
    <w:rsid w:val="007B64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43D"/>
    <w:rPr>
      <w:sz w:val="18"/>
    </w:rPr>
  </w:style>
  <w:style w:type="paragraph" w:customStyle="1" w:styleId="BodySmallRight">
    <w:name w:val="Body Small Right"/>
    <w:basedOn w:val="BodyTextRight"/>
    <w:rsid w:val="007B643D"/>
    <w:rPr>
      <w:sz w:val="18"/>
      <w:szCs w:val="18"/>
    </w:rPr>
  </w:style>
  <w:style w:type="paragraph" w:customStyle="1" w:styleId="MarginEdition">
    <w:name w:val="Margin Edition"/>
    <w:basedOn w:val="MarginNote"/>
    <w:rsid w:val="007B64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43D"/>
    <w:rPr>
      <w:sz w:val="2"/>
      <w:szCs w:val="2"/>
    </w:rPr>
  </w:style>
  <w:style w:type="character" w:customStyle="1" w:styleId="Small">
    <w:name w:val="Small"/>
    <w:basedOn w:val="DefaultParagraphFont"/>
    <w:rsid w:val="007B643D"/>
    <w:rPr>
      <w:sz w:val="16"/>
    </w:rPr>
  </w:style>
  <w:style w:type="paragraph" w:customStyle="1" w:styleId="WideTable">
    <w:name w:val="Wide Table"/>
    <w:basedOn w:val="Normal"/>
    <w:rsid w:val="007B64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43D"/>
  </w:style>
  <w:style w:type="paragraph" w:styleId="Quote">
    <w:name w:val="Quote"/>
    <w:basedOn w:val="Heading1"/>
    <w:link w:val="QuoteChar"/>
    <w:qFormat/>
    <w:rsid w:val="007B64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4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43D"/>
    <w:pPr>
      <w:pageBreakBefore/>
    </w:pPr>
  </w:style>
  <w:style w:type="paragraph" w:customStyle="1" w:styleId="Border">
    <w:name w:val="Border"/>
    <w:basedOn w:val="Normal"/>
    <w:qFormat/>
    <w:rsid w:val="007B64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4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4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4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4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4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4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4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4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43D"/>
    <w:rPr>
      <w:u w:val="single"/>
    </w:rPr>
  </w:style>
  <w:style w:type="character" w:customStyle="1" w:styleId="BoldandItalics">
    <w:name w:val="Bold and Italics"/>
    <w:qFormat/>
    <w:rsid w:val="007B643D"/>
    <w:rPr>
      <w:b/>
      <w:i/>
      <w:u w:val="none"/>
    </w:rPr>
  </w:style>
  <w:style w:type="paragraph" w:styleId="BalloonText">
    <w:name w:val="Balloon Text"/>
    <w:basedOn w:val="Normal"/>
    <w:link w:val="BalloonTextChar"/>
    <w:rsid w:val="007B6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4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4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4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4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4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43D"/>
    <w:pPr>
      <w:spacing w:before="0" w:after="0"/>
    </w:pPr>
  </w:style>
  <w:style w:type="paragraph" w:customStyle="1" w:styleId="BodyTextBold">
    <w:name w:val="Body Text Bold"/>
    <w:basedOn w:val="BodyText"/>
    <w:qFormat/>
    <w:rsid w:val="007B643D"/>
    <w:rPr>
      <w:b/>
    </w:rPr>
  </w:style>
  <w:style w:type="character" w:styleId="Hyperlink">
    <w:name w:val="Hyperlink"/>
    <w:basedOn w:val="DefaultParagraphFont"/>
    <w:uiPriority w:val="99"/>
    <w:unhideWhenUsed/>
    <w:rsid w:val="001841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5151</Characters>
  <Application>Microsoft Office Word</Application>
  <DocSecurity>0</DocSecurity>
  <Lines>135</Lines>
  <Paragraphs>87</Paragraphs>
  <ScaleCrop>false</ScaleCrop>
  <Company>Author-it Software Corporation Ltd.</Company>
  <LinksUpToDate>false</LinksUpToDate>
  <CharactersWithSpaces>5863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RIIPEO208D Extend, retract and maintain conveyor componentry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2020-07-08T05:52:00Z</dcterms:created>
  <dcterms:modified xsi:type="dcterms:W3CDTF">2020-07-08T05:52:00Z</dcterms:modified>
</cp:coreProperties>
</file>