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954" w:rsidP="00634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RIIPEO206D Lay and recover cables and hoses</w:t>
      </w:r>
      <w:r>
        <w:fldChar w:fldCharType="end"/>
      </w:r>
    </w:p>
    <w:p w:rsidR="00634954" w:rsidP="00634954">
      <w:pPr>
        <w:pStyle w:val="Version"/>
        <w:sectPr w:rsidSect="006E6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FAB" w:rsidP="006E6FAB">
      <w:pPr>
        <w:pStyle w:val="SuperHeading"/>
      </w:pPr>
      <w:r w:rsidRPr="006E6FAB">
        <w:t>Assessment Requirements for RIIPEO206D Lay and recover cables and hoses</w:t>
      </w:r>
    </w:p>
    <w:p w:rsidR="00000000" w:rsidRPr="006E6FAB" w:rsidP="006E6FAB">
      <w:pPr>
        <w:pStyle w:val="Heading1"/>
      </w:pPr>
      <w:bookmarkStart w:id="1" w:name="O_687112"/>
      <w:bookmarkEnd w:id="1"/>
      <w:r w:rsidRPr="006E6FA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34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FAB">
            <w:pPr>
              <w:pStyle w:val="Heading4"/>
              <w:rPr>
                <w:lang w:val="en-NZ"/>
              </w:rPr>
            </w:pPr>
            <w:r w:rsidRPr="006E6FA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FAB">
            <w:pPr>
              <w:pStyle w:val="Heading4"/>
              <w:rPr>
                <w:lang w:val="en-NZ"/>
              </w:rPr>
            </w:pPr>
            <w:r w:rsidRPr="006E6FAB">
              <w:t>Comment</w:t>
            </w:r>
          </w:p>
        </w:tc>
      </w:tr>
      <w:tr w:rsidTr="00634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This unit replaces RIIPEO206A Lay and recover cables and hoses</w:t>
            </w:r>
          </w:p>
        </w:tc>
      </w:tr>
      <w:tr w:rsidTr="00634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FAB" w:rsidP="006E6FAB">
            <w:pPr>
              <w:pStyle w:val="BodyText"/>
            </w:pPr>
            <w:r w:rsidRPr="006E6FAB">
              <w:t>Required frequency and volume of evidence amended in Performance evidence.</w:t>
            </w:r>
          </w:p>
          <w:p w:rsidR="00000000" w:rsidRPr="006E6FAB" w:rsidP="006E6FAB">
            <w:pPr>
              <w:pStyle w:val="BodyText"/>
            </w:pPr>
            <w:r w:rsidRPr="006E6FAB">
              <w:t>Substantial amendments made in Assessment Conditions field, including: references to Industry Sectors, assessor and subject matter expert experience requirements, how assessment sho</w:t>
            </w:r>
            <w:r w:rsidRPr="006E6FAB">
              <w:t>uld be conducted and what it should confirm.</w:t>
            </w:r>
          </w:p>
        </w:tc>
      </w:tr>
    </w:tbl>
    <w:p w:rsidR="00000000" w:rsidRPr="006E6FAB" w:rsidP="006E6FAB">
      <w:pPr>
        <w:pStyle w:val="BodyText"/>
      </w:pPr>
    </w:p>
    <w:p w:rsidR="00000000" w:rsidRPr="006E6FAB" w:rsidP="006E6FAB">
      <w:pPr>
        <w:pStyle w:val="AllowPageBreak"/>
      </w:pPr>
    </w:p>
    <w:p w:rsidR="00000000" w:rsidRPr="006E6FAB" w:rsidP="006E6FAB">
      <w:pPr>
        <w:pStyle w:val="Heading1"/>
      </w:pPr>
      <w:bookmarkStart w:id="2" w:name="O_687110"/>
      <w:bookmarkEnd w:id="2"/>
      <w:r w:rsidRPr="006E6FAB">
        <w:t>Performance Evidence</w:t>
      </w:r>
    </w:p>
    <w:p w:rsidR="00000000" w:rsidRPr="006E6FAB" w:rsidP="00634954">
      <w:pPr>
        <w:pStyle w:val="BodyText"/>
      </w:pPr>
      <w:r w:rsidRPr="006E6FAB">
        <w:t>Evidence is required to be collected that demonstrates a candidate’s competency in this unit. Evidence must be relevant to the roles within this sector’s work operations a</w:t>
      </w:r>
      <w:r w:rsidRPr="006E6FAB">
        <w:t>nd satisfy all of the requirements of the performance criteria of this unit and include evidence that the candidate:</w:t>
      </w:r>
    </w:p>
    <w:p w:rsidR="00000000" w:rsidRPr="006E6FAB" w:rsidP="006E6FAB">
      <w:pPr>
        <w:pStyle w:val="ListBullet2"/>
      </w:pPr>
      <w:r w:rsidRPr="006E6FAB">
        <w:t>locates and applies relevant documentation, policies and procedures</w:t>
      </w:r>
    </w:p>
    <w:p w:rsidR="00000000" w:rsidRPr="006E6FAB" w:rsidP="006E6FAB">
      <w:pPr>
        <w:pStyle w:val="ListBullet2"/>
      </w:pPr>
      <w:r w:rsidRPr="006E6FAB">
        <w:t>works effectively with others to undertake and complete the laying and recovering cables and hoses that meet all of the required outcomes including:</w:t>
      </w:r>
    </w:p>
    <w:p w:rsidR="00000000" w:rsidRPr="006E6FAB" w:rsidP="006E6FAB">
      <w:pPr>
        <w:pStyle w:val="ListBullet3"/>
      </w:pPr>
      <w:r w:rsidRPr="006E6FAB">
        <w:t>using a range of communications techniques and equipment to convey information to others</w:t>
      </w:r>
    </w:p>
    <w:p w:rsidR="00000000" w:rsidRPr="006E6FAB" w:rsidP="006E6FAB">
      <w:pPr>
        <w:pStyle w:val="ListBullet3"/>
      </w:pPr>
      <w:r w:rsidRPr="006E6FAB">
        <w:t>maintaining writt</w:t>
      </w:r>
      <w:r w:rsidRPr="006E6FAB">
        <w:t>en and verbal reporting requirements and procedures</w:t>
      </w:r>
    </w:p>
    <w:p w:rsidR="00000000" w:rsidRPr="006E6FAB" w:rsidP="006E6FAB">
      <w:pPr>
        <w:pStyle w:val="ListBullet3"/>
      </w:pPr>
      <w:r w:rsidRPr="006E6FAB">
        <w:t>communicating to confirm work requirements</w:t>
      </w:r>
    </w:p>
    <w:p w:rsidR="00000000" w:rsidRPr="006E6FAB" w:rsidP="006E6FAB">
      <w:pPr>
        <w:pStyle w:val="ListBullet"/>
      </w:pPr>
      <w:r w:rsidRPr="006E6FAB">
        <w:t>demonstrates completion of the laying and recovering of cables and hoses that safely, effectively and efficiently meets all of the required outcomes on more tha</w:t>
      </w:r>
      <w:r w:rsidRPr="006E6FAB">
        <w:t>n one (1) occasion including:</w:t>
      </w:r>
    </w:p>
    <w:p w:rsidR="00000000" w:rsidRPr="006E6FAB" w:rsidP="006E6FAB">
      <w:pPr>
        <w:pStyle w:val="ListBullet3"/>
      </w:pPr>
      <w:r w:rsidRPr="006E6FAB">
        <w:t xml:space="preserve">completing cable laying operations </w:t>
      </w:r>
    </w:p>
    <w:p w:rsidR="00000000" w:rsidRPr="006E6FAB" w:rsidP="006E6FAB">
      <w:pPr>
        <w:pStyle w:val="ListBullet3"/>
      </w:pPr>
      <w:r w:rsidRPr="006E6FAB">
        <w:t xml:space="preserve">completing hose laying operations </w:t>
      </w:r>
    </w:p>
    <w:p w:rsidR="00000000" w:rsidRPr="006E6FAB" w:rsidP="006E6FAB">
      <w:pPr>
        <w:pStyle w:val="ListBullet3"/>
      </w:pPr>
      <w:r w:rsidRPr="006E6FAB">
        <w:t>completing cable or hose recovery operations</w:t>
      </w:r>
    </w:p>
    <w:p w:rsidR="00000000" w:rsidRPr="006E6FAB" w:rsidP="006E6FAB">
      <w:pPr>
        <w:pStyle w:val="ListBullet3"/>
      </w:pPr>
      <w:r w:rsidRPr="006E6FAB">
        <w:t xml:space="preserve">driving, operating equipment and engaging controls to govern speed, direction and tension </w:t>
      </w:r>
    </w:p>
    <w:p w:rsidR="00000000" w:rsidRPr="006E6FAB" w:rsidP="006E6FAB">
      <w:pPr>
        <w:pStyle w:val="ListBullet3"/>
      </w:pPr>
      <w:r w:rsidRPr="006E6FAB">
        <w:t>preparing and inspecting cables for connection, and marking the locations</w:t>
      </w:r>
    </w:p>
    <w:p w:rsidR="00000000" w:rsidRPr="006E6FAB" w:rsidP="006E6FAB">
      <w:pPr>
        <w:pStyle w:val="AllowPageBreak"/>
      </w:pPr>
    </w:p>
    <w:p w:rsidR="00000000" w:rsidRPr="006E6FAB" w:rsidP="006E6FAB">
      <w:pPr>
        <w:pStyle w:val="Heading1"/>
      </w:pPr>
      <w:bookmarkStart w:id="3" w:name="O_687108"/>
      <w:bookmarkEnd w:id="3"/>
      <w:r w:rsidRPr="006E6FAB">
        <w:t>Knowledge Evidence</w:t>
      </w:r>
    </w:p>
    <w:p w:rsidR="00000000" w:rsidRPr="006E6FAB" w:rsidP="00634954">
      <w:pPr>
        <w:pStyle w:val="BodyText"/>
      </w:pPr>
      <w:r w:rsidRPr="006E6FAB">
        <w:t>The candidate must demonstrate knowledge in laying and recovering cables and hoses through:</w:t>
      </w:r>
    </w:p>
    <w:p w:rsidR="00000000" w:rsidRPr="006E6FAB" w:rsidP="006E6FAB">
      <w:pPr>
        <w:pStyle w:val="ListBullet2"/>
      </w:pPr>
      <w:r w:rsidRPr="006E6FAB">
        <w:t>site and equipment safety requirements</w:t>
      </w:r>
    </w:p>
    <w:p w:rsidR="00000000" w:rsidRPr="006E6FAB" w:rsidP="006E6FAB">
      <w:pPr>
        <w:pStyle w:val="ListBullet2"/>
      </w:pPr>
      <w:r w:rsidRPr="006E6FAB">
        <w:t>types, uses an</w:t>
      </w:r>
      <w:r w:rsidRPr="006E6FAB">
        <w:t>d characteristics of cables and hoses</w:t>
      </w:r>
    </w:p>
    <w:p w:rsidR="00000000" w:rsidRPr="006E6FAB" w:rsidP="006E6FAB">
      <w:pPr>
        <w:pStyle w:val="ListBullet2"/>
      </w:pPr>
      <w:r w:rsidRPr="006E6FAB">
        <w:t>cable and hose laying equipment characteristics, technical capabilities and limitations</w:t>
      </w:r>
    </w:p>
    <w:p w:rsidR="00000000" w:rsidRPr="006E6FAB" w:rsidP="006E6FAB">
      <w:pPr>
        <w:pStyle w:val="ListBullet2"/>
      </w:pPr>
      <w:r w:rsidRPr="006E6FAB">
        <w:t>cable and hose laying and recovery operational and maintenance procedures</w:t>
      </w:r>
    </w:p>
    <w:p w:rsidR="00000000" w:rsidRPr="006E6FAB" w:rsidP="006E6FAB">
      <w:pPr>
        <w:pStyle w:val="ListBullet2"/>
      </w:pPr>
      <w:r w:rsidRPr="006E6FAB">
        <w:t>basic geological, geographical and survey data</w:t>
      </w:r>
    </w:p>
    <w:p w:rsidR="00000000" w:rsidRPr="006E6FAB" w:rsidP="006E6FAB">
      <w:pPr>
        <w:pStyle w:val="ListBullet2"/>
      </w:pPr>
      <w:r w:rsidRPr="006E6FAB">
        <w:t>organisin</w:t>
      </w:r>
      <w:r w:rsidRPr="006E6FAB">
        <w:t>g and prioritizing work tasks</w:t>
      </w:r>
    </w:p>
    <w:p w:rsidR="00000000" w:rsidRPr="006E6FAB" w:rsidP="006E6FAB">
      <w:pPr>
        <w:pStyle w:val="ListBullet2"/>
      </w:pPr>
      <w:r w:rsidRPr="006E6FAB">
        <w:t>prepared for fire/accident/emergency</w:t>
      </w:r>
    </w:p>
    <w:p w:rsidR="00000000" w:rsidRPr="006E6FAB" w:rsidP="006E6FAB">
      <w:pPr>
        <w:pStyle w:val="AllowPageBreak"/>
      </w:pPr>
    </w:p>
    <w:p w:rsidR="00000000" w:rsidRPr="006E6FAB" w:rsidP="006E6FAB">
      <w:pPr>
        <w:pStyle w:val="Heading1"/>
      </w:pPr>
      <w:bookmarkStart w:id="4" w:name="O_687106"/>
      <w:bookmarkEnd w:id="4"/>
      <w:r w:rsidRPr="006E6FAB">
        <w:t>Assessment Conditions</w:t>
      </w:r>
    </w:p>
    <w:p w:rsidR="00000000" w:rsidRPr="006E6FAB" w:rsidP="006E6FAB">
      <w:pPr>
        <w:pStyle w:val="ListBullet"/>
      </w:pPr>
      <w:r w:rsidRPr="006E6FAB">
        <w:t xml:space="preserve">An assessor of this unit must satisfy the requirements of the NVR/AQTF or their successors; </w:t>
      </w:r>
      <w:r w:rsidRPr="006E6FAB">
        <w:t xml:space="preserve">and Industry regulations for certification and licensing; and, </w:t>
      </w:r>
    </w:p>
    <w:p w:rsidR="00000000" w:rsidRPr="006E6FAB" w:rsidP="006E6FAB">
      <w:pPr>
        <w:pStyle w:val="ListBullet"/>
      </w:pPr>
      <w:r w:rsidRPr="006E6FAB">
        <w:t>this unit must be assessed in the context of this sector’s work environment; and,</w:t>
      </w:r>
    </w:p>
    <w:p w:rsidR="00000000" w:rsidRPr="006E6FAB" w:rsidP="006E6FAB">
      <w:pPr>
        <w:pStyle w:val="ListBullet"/>
      </w:pPr>
      <w:r w:rsidRPr="006E6FAB">
        <w:t xml:space="preserve">this unit must be assessed in compliance with relevant legislation/regulation and using policies, procedures, </w:t>
      </w:r>
      <w:r w:rsidRPr="006E6FAB">
        <w:t>processes and operational manuals directly related to the industry sector for which it is being assessed; and,</w:t>
      </w:r>
    </w:p>
    <w:p w:rsidR="00000000" w:rsidRPr="006E6FAB" w:rsidP="006E6FAB">
      <w:pPr>
        <w:pStyle w:val="ListBullet"/>
      </w:pPr>
      <w:r w:rsidRPr="006E6FAB">
        <w:t>assessment may be conducted in conjunction with the assessment of other Units of Competency; and,</w:t>
      </w:r>
    </w:p>
    <w:p w:rsidR="00000000" w:rsidRPr="006E6FAB" w:rsidP="006E6FAB">
      <w:pPr>
        <w:pStyle w:val="ListBullet"/>
      </w:pPr>
      <w:r w:rsidRPr="006E6FAB">
        <w:t xml:space="preserve">assessment must confirm consistent performance </w:t>
      </w:r>
      <w:r w:rsidRPr="006E6FAB">
        <w:t>can be applied in a range of relevant workplace circumstances; and,</w:t>
      </w:r>
    </w:p>
    <w:p w:rsidR="00000000" w:rsidRPr="006E6FAB" w:rsidP="006E6FAB">
      <w:pPr>
        <w:pStyle w:val="ListBullet"/>
      </w:pPr>
      <w:r w:rsidRPr="006E6FAB">
        <w:t>assessors must demonstrate the performance evidence, and knowledge evidence as outlined in this Unit of Competency, and through the minimum years of current* work experience specified belo</w:t>
      </w:r>
      <w:r w:rsidRPr="006E6FAB">
        <w:t>w in an Industry sector relevant to the outcomes of the unit; or,</w:t>
      </w:r>
    </w:p>
    <w:p w:rsidR="00000000" w:rsidRPr="006E6FAB" w:rsidP="006E6FAB">
      <w:pPr>
        <w:pStyle w:val="ListBullet"/>
      </w:pPr>
      <w:r w:rsidRPr="006E6FAB">
        <w:t>where the assessor does not meet experience requirements a co-assessment or partnership arrangement must exist between the qualified assessor and an Industry subject matter expert. The Indus</w:t>
      </w:r>
      <w:r w:rsidRPr="006E6FAB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6E6FAB">
        <w:t>f current work experience specified below in the Industry sector, including time spent in roles related to the unit being assessed; and,</w:t>
      </w:r>
    </w:p>
    <w:p w:rsidR="00000000" w:rsidRPr="006E6FAB" w:rsidP="006E6FAB">
      <w:pPr>
        <w:pStyle w:val="ListBullet"/>
      </w:pPr>
      <w:r w:rsidRPr="006E6FAB">
        <w:t>assessor and Industry subject matter expert requirements differ depending on the Australian Qualifications Framework Le</w:t>
      </w:r>
      <w:r w:rsidRPr="006E6FAB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E6F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SubHeading1"/>
              <w:rPr>
                <w:lang w:val="en-NZ"/>
              </w:rPr>
            </w:pPr>
            <w:r w:rsidRPr="006E6FA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SubHeading1"/>
              <w:rPr>
                <w:lang w:val="en-NZ"/>
              </w:rPr>
            </w:pPr>
            <w:r w:rsidRPr="006E6FA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SubHeading1"/>
              <w:rPr>
                <w:lang w:val="en-NZ"/>
              </w:rPr>
            </w:pPr>
            <w:r w:rsidRPr="006E6FAB">
              <w:t>Required assessor or Industry subject matter expert experience</w:t>
            </w:r>
          </w:p>
        </w:tc>
      </w:tr>
      <w:tr w:rsidTr="006E6F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1 Year</w:t>
            </w:r>
          </w:p>
        </w:tc>
      </w:tr>
      <w:tr w:rsidTr="006E6F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2 Years</w:t>
            </w:r>
          </w:p>
        </w:tc>
      </w:tr>
      <w:tr w:rsidTr="006E6F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3 Years</w:t>
            </w:r>
          </w:p>
        </w:tc>
      </w:tr>
      <w:tr w:rsidTr="006E6F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5 Years</w:t>
            </w:r>
          </w:p>
        </w:tc>
      </w:tr>
      <w:tr w:rsidTr="006E6F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6FAB">
            <w:pPr>
              <w:pStyle w:val="BodyText"/>
              <w:rPr>
                <w:lang w:val="en-NZ"/>
              </w:rPr>
            </w:pPr>
            <w:r w:rsidRPr="006E6FA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6FAB" w:rsidP="006E6FAB">
            <w:pPr>
              <w:pStyle w:val="BodyText"/>
            </w:pPr>
            <w:r w:rsidRPr="006E6FA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E6FAB">
              <w:t>ndard is specified should comply with any relevant regulation.</w:t>
            </w:r>
          </w:p>
        </w:tc>
      </w:tr>
    </w:tbl>
    <w:p w:rsidR="00000000" w:rsidRPr="006E6FAB" w:rsidP="00634954">
      <w:pPr>
        <w:pStyle w:val="BodyText"/>
      </w:pPr>
      <w:r w:rsidRPr="006E6FAB">
        <w:t xml:space="preserve">*Assessors can demonstrate current work experience through employment within Industry in a role relevant to the outcomes of the Unit; or, for external </w:t>
      </w:r>
      <w:r w:rsidRPr="006E6FAB">
        <w:t>assessors this can be demonstrated through exposure to Industry by conducting frequent site assessments across various locations.</w:t>
      </w:r>
    </w:p>
    <w:p w:rsidR="00634954" w:rsidP="00634954">
      <w:pPr>
        <w:pStyle w:val="BodyText"/>
      </w:pPr>
      <w:r w:rsidRPr="006E6FAB">
        <w:t>**Where a unit is being delivered outside of a Qualification the first numeric character in the Unit code should be considered</w:t>
      </w:r>
      <w:r w:rsidRPr="006E6FAB">
        <w:t xml:space="preserve"> to indicate the AQF level</w:t>
      </w:r>
    </w:p>
    <w:p w:rsidR="00000000" w:rsidRPr="006E6FAB" w:rsidP="006E6FAB">
      <w:pPr>
        <w:pStyle w:val="Heading1"/>
      </w:pPr>
      <w:bookmarkStart w:id="5" w:name="O_687144"/>
      <w:bookmarkEnd w:id="5"/>
      <w:r w:rsidRPr="006E6FAB">
        <w:t>Links</w:t>
      </w:r>
    </w:p>
    <w:p w:rsidR="00000000" w:rsidRPr="006E6FAB" w:rsidP="00634954">
      <w:pPr>
        <w:pStyle w:val="BodyText"/>
      </w:pPr>
      <w:r w:rsidRPr="006E6F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06CE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6FAB" w:rsidP="006E6FAB"/>
    <w:sectPr w:rsidSect="006E6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AB" w:rsidRPr="00634954" w:rsidP="00634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54" w:rsidP="006E6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954" w:rsidP="006E6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4954" w:rsidP="006E6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FAB" w:rsidRPr="00634954" w:rsidP="00634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54" w:rsidRPr="002D2AF8" w:rsidP="006E6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RIIPEO206D Lay and recover cables and 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4954" w:rsidP="006E6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026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702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F40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FAB"/>
  </w:style>
  <w:style w:type="character" w:customStyle="1" w:styleId="Heading1Char">
    <w:name w:val="Heading 1 Char"/>
    <w:basedOn w:val="DefaultParagraphFont"/>
    <w:link w:val="Heading1"/>
    <w:rsid w:val="006E6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FA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E6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F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6F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6E6FAB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6E6F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6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FAB"/>
    <w:rPr>
      <w:b/>
      <w:spacing w:val="0"/>
    </w:rPr>
  </w:style>
  <w:style w:type="paragraph" w:customStyle="1" w:styleId="SuperTitle">
    <w:name w:val="SuperTitle"/>
    <w:basedOn w:val="Title"/>
    <w:rsid w:val="006E6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F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FAB"/>
    <w:rPr>
      <w:i/>
    </w:rPr>
  </w:style>
  <w:style w:type="paragraph" w:styleId="Caption">
    <w:name w:val="caption"/>
    <w:basedOn w:val="BodyText"/>
    <w:next w:val="Normal"/>
    <w:qFormat/>
    <w:rsid w:val="006E6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FAB"/>
  </w:style>
  <w:style w:type="paragraph" w:styleId="TableofFigures">
    <w:name w:val="table of figures"/>
    <w:basedOn w:val="Normal"/>
    <w:next w:val="Normal"/>
    <w:semiHidden/>
    <w:rsid w:val="006E6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F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6FAB"/>
    <w:rPr>
      <w:rFonts w:ascii="Wingdings" w:hAnsi="Wingdings"/>
    </w:rPr>
  </w:style>
  <w:style w:type="paragraph" w:customStyle="1" w:styleId="TableHeading">
    <w:name w:val="Table Heading"/>
    <w:basedOn w:val="HeadingBase"/>
    <w:rsid w:val="006E6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FAB"/>
    <w:rPr>
      <w:color w:val="0033CC"/>
      <w:u w:val="none"/>
    </w:rPr>
  </w:style>
  <w:style w:type="paragraph" w:customStyle="1" w:styleId="BodyTextRight">
    <w:name w:val="Body Text Right"/>
    <w:basedOn w:val="BodyText"/>
    <w:rsid w:val="006E6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F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FAB"/>
    <w:rPr>
      <w:sz w:val="32"/>
    </w:rPr>
  </w:style>
  <w:style w:type="paragraph" w:customStyle="1" w:styleId="HeadingProcedure">
    <w:name w:val="Heading Procedure"/>
    <w:basedOn w:val="HeadingBase"/>
    <w:next w:val="Normal"/>
    <w:rsid w:val="006E6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FAB"/>
    <w:pPr>
      <w:spacing w:before="60" w:after="60"/>
    </w:pPr>
  </w:style>
  <w:style w:type="paragraph" w:styleId="ListContinue">
    <w:name w:val="List Continue"/>
    <w:basedOn w:val="List"/>
    <w:rsid w:val="006E6FAB"/>
    <w:pPr>
      <w:ind w:firstLine="0"/>
    </w:pPr>
  </w:style>
  <w:style w:type="paragraph" w:customStyle="1" w:styleId="ListNote">
    <w:name w:val="List Note"/>
    <w:basedOn w:val="List"/>
    <w:rsid w:val="006E6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FAB"/>
    <w:rPr>
      <w:rFonts w:ascii="Courier New" w:hAnsi="Courier New"/>
    </w:rPr>
  </w:style>
  <w:style w:type="paragraph" w:customStyle="1" w:styleId="NoteBullet">
    <w:name w:val="Note Bullet"/>
    <w:basedOn w:val="Note"/>
    <w:rsid w:val="006E6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FAB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6E6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F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6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FAB"/>
    <w:rPr>
      <w:b/>
      <w:smallCaps/>
    </w:rPr>
  </w:style>
  <w:style w:type="paragraph" w:customStyle="1" w:styleId="TableListNumber">
    <w:name w:val="Table List Number"/>
    <w:basedOn w:val="ListNumber"/>
    <w:rsid w:val="006E6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FAB"/>
    <w:pPr>
      <w:numPr>
        <w:numId w:val="10"/>
      </w:numPr>
    </w:pPr>
  </w:style>
  <w:style w:type="paragraph" w:customStyle="1" w:styleId="ListAlpha2">
    <w:name w:val="List Alpha 2"/>
    <w:basedOn w:val="List2"/>
    <w:rsid w:val="006E6FAB"/>
    <w:pPr>
      <w:numPr>
        <w:numId w:val="9"/>
      </w:numPr>
    </w:pPr>
  </w:style>
  <w:style w:type="paragraph" w:styleId="List2">
    <w:name w:val="List 2"/>
    <w:basedOn w:val="BodyText"/>
    <w:rsid w:val="006E6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F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6F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6FAB"/>
    <w:pPr>
      <w:numPr>
        <w:numId w:val="5"/>
      </w:numPr>
    </w:pPr>
  </w:style>
  <w:style w:type="paragraph" w:styleId="ListContinue2">
    <w:name w:val="List Continue 2"/>
    <w:basedOn w:val="List2"/>
    <w:rsid w:val="006E6FAB"/>
    <w:pPr>
      <w:ind w:firstLine="0"/>
    </w:pPr>
  </w:style>
  <w:style w:type="paragraph" w:styleId="ListContinue3">
    <w:name w:val="List Continue 3"/>
    <w:basedOn w:val="List3"/>
    <w:rsid w:val="006E6FAB"/>
    <w:pPr>
      <w:ind w:left="1021" w:firstLine="0"/>
    </w:pPr>
  </w:style>
  <w:style w:type="paragraph" w:styleId="ListContinue4">
    <w:name w:val="List Continue 4"/>
    <w:basedOn w:val="List4"/>
    <w:rsid w:val="006E6FAB"/>
    <w:pPr>
      <w:ind w:firstLine="0"/>
    </w:pPr>
  </w:style>
  <w:style w:type="paragraph" w:styleId="ListContinue5">
    <w:name w:val="List Continue 5"/>
    <w:basedOn w:val="List5"/>
    <w:rsid w:val="006E6FAB"/>
    <w:pPr>
      <w:ind w:firstLine="0"/>
    </w:pPr>
  </w:style>
  <w:style w:type="paragraph" w:styleId="ListNumber3">
    <w:name w:val="List Number 3"/>
    <w:basedOn w:val="List3"/>
    <w:rsid w:val="006E6FAB"/>
    <w:pPr>
      <w:numPr>
        <w:numId w:val="6"/>
      </w:numPr>
    </w:pPr>
  </w:style>
  <w:style w:type="paragraph" w:styleId="ListNumber4">
    <w:name w:val="List Number 4"/>
    <w:basedOn w:val="List4"/>
    <w:rsid w:val="006E6FAB"/>
    <w:pPr>
      <w:numPr>
        <w:numId w:val="7"/>
      </w:numPr>
    </w:pPr>
  </w:style>
  <w:style w:type="paragraph" w:styleId="ListNumber5">
    <w:name w:val="List Number 5"/>
    <w:basedOn w:val="List5"/>
    <w:rsid w:val="006E6FAB"/>
    <w:pPr>
      <w:numPr>
        <w:numId w:val="8"/>
      </w:numPr>
    </w:pPr>
  </w:style>
  <w:style w:type="paragraph" w:styleId="BlockText">
    <w:name w:val="Block Text"/>
    <w:basedOn w:val="Normal"/>
    <w:rsid w:val="006E6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FAB"/>
    <w:rPr>
      <w:sz w:val="16"/>
      <w:vertAlign w:val="superscript"/>
    </w:rPr>
  </w:style>
  <w:style w:type="character" w:customStyle="1" w:styleId="Symbols">
    <w:name w:val="Symbols"/>
    <w:basedOn w:val="DefaultParagraphFont"/>
    <w:rsid w:val="006E6FAB"/>
    <w:rPr>
      <w:rFonts w:ascii="Symbol" w:hAnsi="Symbol"/>
    </w:rPr>
  </w:style>
  <w:style w:type="character" w:customStyle="1" w:styleId="MenuOptions">
    <w:name w:val="Menu Options"/>
    <w:basedOn w:val="DefaultParagraphFont"/>
    <w:rsid w:val="006E6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FAB"/>
    <w:rPr>
      <w:b/>
    </w:rPr>
  </w:style>
  <w:style w:type="character" w:customStyle="1" w:styleId="Underlined">
    <w:name w:val="Underlined"/>
    <w:basedOn w:val="DefaultParagraphFont"/>
    <w:rsid w:val="006E6FAB"/>
    <w:rPr>
      <w:u w:val="single"/>
    </w:rPr>
  </w:style>
  <w:style w:type="paragraph" w:customStyle="1" w:styleId="TableBodyTextRight">
    <w:name w:val="Table Body Text Right"/>
    <w:basedOn w:val="TableBodyText"/>
    <w:rsid w:val="006E6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FAB"/>
    <w:rPr>
      <w:sz w:val="18"/>
    </w:rPr>
  </w:style>
  <w:style w:type="paragraph" w:customStyle="1" w:styleId="BodySmallRight">
    <w:name w:val="Body Small Right"/>
    <w:basedOn w:val="BodyTextRight"/>
    <w:rsid w:val="006E6FAB"/>
    <w:rPr>
      <w:sz w:val="18"/>
      <w:szCs w:val="18"/>
    </w:rPr>
  </w:style>
  <w:style w:type="paragraph" w:customStyle="1" w:styleId="MarginEdition">
    <w:name w:val="Margin Edition"/>
    <w:basedOn w:val="MarginNote"/>
    <w:rsid w:val="006E6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FAB"/>
    <w:rPr>
      <w:sz w:val="2"/>
      <w:szCs w:val="2"/>
    </w:rPr>
  </w:style>
  <w:style w:type="character" w:customStyle="1" w:styleId="Small">
    <w:name w:val="Small"/>
    <w:basedOn w:val="DefaultParagraphFont"/>
    <w:rsid w:val="006E6FAB"/>
    <w:rPr>
      <w:sz w:val="16"/>
    </w:rPr>
  </w:style>
  <w:style w:type="paragraph" w:customStyle="1" w:styleId="WideTable">
    <w:name w:val="Wide Table"/>
    <w:basedOn w:val="Normal"/>
    <w:rsid w:val="006E6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FAB"/>
  </w:style>
  <w:style w:type="paragraph" w:styleId="Quote">
    <w:name w:val="Quote"/>
    <w:basedOn w:val="Heading1"/>
    <w:link w:val="QuoteChar"/>
    <w:qFormat/>
    <w:rsid w:val="006E6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FAB"/>
    <w:pPr>
      <w:pageBreakBefore/>
    </w:pPr>
  </w:style>
  <w:style w:type="paragraph" w:customStyle="1" w:styleId="Border">
    <w:name w:val="Border"/>
    <w:basedOn w:val="Normal"/>
    <w:qFormat/>
    <w:rsid w:val="006E6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FAB"/>
    <w:rPr>
      <w:u w:val="single"/>
    </w:rPr>
  </w:style>
  <w:style w:type="character" w:customStyle="1" w:styleId="BoldandItalics">
    <w:name w:val="Bold and Italics"/>
    <w:qFormat/>
    <w:rsid w:val="006E6FAB"/>
    <w:rPr>
      <w:b/>
      <w:i/>
      <w:u w:val="none"/>
    </w:rPr>
  </w:style>
  <w:style w:type="paragraph" w:styleId="BalloonText">
    <w:name w:val="Balloon Text"/>
    <w:basedOn w:val="Normal"/>
    <w:link w:val="BalloonTextChar"/>
    <w:rsid w:val="006E6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FAB"/>
    <w:pPr>
      <w:spacing w:before="0" w:after="0"/>
    </w:pPr>
  </w:style>
  <w:style w:type="paragraph" w:customStyle="1" w:styleId="BodyTextBold">
    <w:name w:val="Body Text Bold"/>
    <w:basedOn w:val="BodyText"/>
    <w:qFormat/>
    <w:rsid w:val="006E6FAB"/>
    <w:rPr>
      <w:b/>
    </w:rPr>
  </w:style>
  <w:style w:type="character" w:styleId="Hyperlink">
    <w:name w:val="Hyperlink"/>
    <w:basedOn w:val="DefaultParagraphFont"/>
    <w:uiPriority w:val="99"/>
    <w:unhideWhenUsed/>
    <w:rsid w:val="00634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4643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RIIPEO206D Lay and recover cables and hoses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